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7834B" w14:textId="142E51B3" w:rsidR="004953C0" w:rsidRPr="004953C0" w:rsidRDefault="004953C0" w:rsidP="004953C0">
      <w:pPr>
        <w:pBdr>
          <w:bottom w:val="single" w:sz="12" w:space="1" w:color="auto"/>
        </w:pBdr>
        <w:spacing w:after="0" w:line="240" w:lineRule="auto"/>
        <w:jc w:val="center"/>
        <w:rPr>
          <w:rFonts w:ascii="Times New Roman" w:eastAsia="Times New Roman" w:hAnsi="Times New Roman" w:cs="Times New Roman"/>
          <w:b/>
          <w:bCs/>
          <w:sz w:val="24"/>
          <w:szCs w:val="24"/>
          <w:lang w:val="hr-HR" w:eastAsia="hr-HR"/>
        </w:rPr>
      </w:pPr>
      <w:r w:rsidRPr="004953C0">
        <w:rPr>
          <w:rFonts w:ascii="Times New Roman" w:eastAsia="Times New Roman" w:hAnsi="Times New Roman" w:cs="Times New Roman"/>
          <w:b/>
          <w:bCs/>
          <w:sz w:val="24"/>
          <w:szCs w:val="24"/>
          <w:lang w:val="hr-HR" w:eastAsia="hr-HR"/>
        </w:rPr>
        <w:t>VLADA REPUBLIKE HRVATSKE</w:t>
      </w:r>
    </w:p>
    <w:p w14:paraId="28237EC9" w14:textId="77777777" w:rsidR="004953C0" w:rsidRPr="004953C0" w:rsidRDefault="004953C0" w:rsidP="004953C0">
      <w:pPr>
        <w:spacing w:after="0" w:line="240" w:lineRule="auto"/>
        <w:jc w:val="center"/>
        <w:rPr>
          <w:rFonts w:ascii="Times New Roman" w:eastAsia="Times New Roman" w:hAnsi="Times New Roman" w:cs="Times New Roman"/>
          <w:b/>
          <w:bCs/>
          <w:sz w:val="24"/>
          <w:szCs w:val="24"/>
          <w:lang w:val="hr-HR" w:eastAsia="hr-HR"/>
        </w:rPr>
      </w:pPr>
    </w:p>
    <w:p w14:paraId="63EAFB6E" w14:textId="32FF0319" w:rsidR="00695821" w:rsidRDefault="00695821" w:rsidP="00695821">
      <w:pPr>
        <w:jc w:val="center"/>
        <w:rPr>
          <w:sz w:val="28"/>
          <w:lang w:val="hr-HR"/>
        </w:rPr>
      </w:pPr>
    </w:p>
    <w:p w14:paraId="7C269F5C" w14:textId="77777777" w:rsidR="005A48E0" w:rsidRPr="006B0F2A" w:rsidRDefault="005A48E0" w:rsidP="00695821">
      <w:pPr>
        <w:jc w:val="center"/>
        <w:rPr>
          <w:sz w:val="28"/>
          <w:lang w:val="hr-HR"/>
        </w:rPr>
      </w:pPr>
    </w:p>
    <w:p w14:paraId="48BCA8EA" w14:textId="77777777" w:rsidR="00695821" w:rsidRPr="006B0F2A" w:rsidRDefault="00695821" w:rsidP="00695821">
      <w:pPr>
        <w:rPr>
          <w:lang w:val="hr-HR"/>
        </w:rPr>
      </w:pPr>
    </w:p>
    <w:p w14:paraId="08A8FFD0" w14:textId="77777777" w:rsidR="00695821" w:rsidRPr="006B0F2A" w:rsidRDefault="00695821" w:rsidP="00695821">
      <w:pPr>
        <w:rPr>
          <w:lang w:val="hr-HR"/>
        </w:rPr>
      </w:pPr>
    </w:p>
    <w:p w14:paraId="566A8A21" w14:textId="77777777" w:rsidR="00695821" w:rsidRPr="006B0F2A" w:rsidRDefault="00695821" w:rsidP="00695821">
      <w:pPr>
        <w:rPr>
          <w:lang w:val="hr-HR"/>
        </w:rPr>
      </w:pPr>
    </w:p>
    <w:p w14:paraId="0EA0B4EC" w14:textId="782D0089" w:rsidR="00695821" w:rsidRPr="006B0F2A" w:rsidRDefault="00695821" w:rsidP="00695821">
      <w:pPr>
        <w:rPr>
          <w:lang w:val="hr-HR"/>
        </w:rPr>
      </w:pPr>
    </w:p>
    <w:p w14:paraId="46496BB2" w14:textId="265EEE79" w:rsidR="00695821" w:rsidRDefault="00695821" w:rsidP="00695821">
      <w:pPr>
        <w:rPr>
          <w:lang w:val="hr-HR"/>
        </w:rPr>
      </w:pPr>
    </w:p>
    <w:p w14:paraId="22EF7026" w14:textId="2C0876EA" w:rsidR="005A48E0" w:rsidRDefault="005A48E0" w:rsidP="00695821">
      <w:pPr>
        <w:rPr>
          <w:lang w:val="hr-HR"/>
        </w:rPr>
      </w:pPr>
    </w:p>
    <w:p w14:paraId="5BC6B763" w14:textId="77777777" w:rsidR="004953C0" w:rsidRDefault="004953C0" w:rsidP="00695821">
      <w:pPr>
        <w:rPr>
          <w:lang w:val="hr-HR"/>
        </w:rPr>
      </w:pPr>
    </w:p>
    <w:p w14:paraId="2A46C847" w14:textId="77777777" w:rsidR="005A48E0" w:rsidRPr="006B0F2A" w:rsidRDefault="005A48E0" w:rsidP="00695821">
      <w:pPr>
        <w:rPr>
          <w:lang w:val="hr-HR"/>
        </w:rPr>
      </w:pPr>
    </w:p>
    <w:p w14:paraId="09B55AB8" w14:textId="77777777" w:rsidR="00695821" w:rsidRPr="005A48E0" w:rsidRDefault="00695821" w:rsidP="005A48E0">
      <w:pPr>
        <w:jc w:val="center"/>
        <w:rPr>
          <w:rFonts w:ascii="Times New Roman" w:hAnsi="Times New Roman" w:cs="Times New Roman"/>
          <w:b/>
          <w:sz w:val="24"/>
          <w:szCs w:val="24"/>
          <w:lang w:val="hr-HR"/>
        </w:rPr>
      </w:pPr>
    </w:p>
    <w:p w14:paraId="13FD2409" w14:textId="78493165" w:rsidR="004953C0" w:rsidRDefault="005A48E0" w:rsidP="004953C0">
      <w:pPr>
        <w:jc w:val="center"/>
        <w:rPr>
          <w:rFonts w:ascii="Times New Roman" w:hAnsi="Times New Roman" w:cs="Times New Roman"/>
          <w:b/>
          <w:sz w:val="24"/>
          <w:szCs w:val="24"/>
          <w:lang w:val="hr-HR"/>
        </w:rPr>
      </w:pPr>
      <w:r w:rsidRPr="005A48E0">
        <w:rPr>
          <w:rFonts w:ascii="Times New Roman" w:hAnsi="Times New Roman" w:cs="Times New Roman"/>
          <w:b/>
          <w:sz w:val="24"/>
          <w:szCs w:val="24"/>
          <w:lang w:val="hr-HR"/>
        </w:rPr>
        <w:t>OBRAZLOŽENJE OPĆEG DIJELA DRŽAVNOG PRORAČUNA I FINANCIJSKIH PLANOVA IZVANPRORAČUNSKIH KORISNIKA ZA 2026. I PR</w:t>
      </w:r>
      <w:r w:rsidR="004953C0">
        <w:rPr>
          <w:rFonts w:ascii="Times New Roman" w:hAnsi="Times New Roman" w:cs="Times New Roman"/>
          <w:b/>
          <w:sz w:val="24"/>
          <w:szCs w:val="24"/>
          <w:lang w:val="hr-HR"/>
        </w:rPr>
        <w:t>OJEKCIJE ZA 2027. I 2028. GODINU</w:t>
      </w:r>
      <w:bookmarkStart w:id="0" w:name="_GoBack"/>
      <w:bookmarkEnd w:id="0"/>
    </w:p>
    <w:p w14:paraId="7CF326DE" w14:textId="77777777" w:rsidR="004953C0" w:rsidRDefault="004953C0" w:rsidP="004953C0">
      <w:pPr>
        <w:jc w:val="center"/>
        <w:rPr>
          <w:rFonts w:ascii="Times New Roman" w:hAnsi="Times New Roman" w:cs="Times New Roman"/>
          <w:b/>
          <w:sz w:val="24"/>
          <w:szCs w:val="24"/>
          <w:lang w:val="hr-HR"/>
        </w:rPr>
      </w:pPr>
    </w:p>
    <w:p w14:paraId="4D89E4F7" w14:textId="77777777" w:rsidR="004953C0" w:rsidRDefault="004953C0" w:rsidP="004953C0">
      <w:pPr>
        <w:jc w:val="center"/>
        <w:rPr>
          <w:rFonts w:ascii="Times New Roman" w:hAnsi="Times New Roman" w:cs="Times New Roman"/>
          <w:b/>
          <w:sz w:val="24"/>
          <w:szCs w:val="24"/>
          <w:lang w:val="hr-HR"/>
        </w:rPr>
      </w:pPr>
    </w:p>
    <w:p w14:paraId="49B4E741" w14:textId="4B44B60B" w:rsidR="004953C0" w:rsidRDefault="004953C0" w:rsidP="004953C0">
      <w:pPr>
        <w:jc w:val="center"/>
        <w:rPr>
          <w:rFonts w:ascii="Times New Roman" w:hAnsi="Times New Roman" w:cs="Times New Roman"/>
          <w:b/>
          <w:sz w:val="24"/>
          <w:szCs w:val="24"/>
          <w:lang w:val="hr-HR"/>
        </w:rPr>
      </w:pPr>
    </w:p>
    <w:p w14:paraId="2608AE3F" w14:textId="1B126C8E" w:rsidR="004953C0" w:rsidRDefault="004953C0" w:rsidP="004953C0">
      <w:pPr>
        <w:jc w:val="center"/>
        <w:rPr>
          <w:rFonts w:ascii="Times New Roman" w:hAnsi="Times New Roman" w:cs="Times New Roman"/>
          <w:b/>
          <w:sz w:val="24"/>
          <w:szCs w:val="24"/>
          <w:lang w:val="hr-HR"/>
        </w:rPr>
      </w:pPr>
    </w:p>
    <w:p w14:paraId="2CDB5496" w14:textId="33EB1180" w:rsidR="004953C0" w:rsidRDefault="004953C0" w:rsidP="004953C0">
      <w:pPr>
        <w:jc w:val="center"/>
        <w:rPr>
          <w:rFonts w:ascii="Times New Roman" w:hAnsi="Times New Roman" w:cs="Times New Roman"/>
          <w:b/>
          <w:sz w:val="24"/>
          <w:szCs w:val="24"/>
          <w:lang w:val="hr-HR"/>
        </w:rPr>
      </w:pPr>
    </w:p>
    <w:p w14:paraId="5C0B2334" w14:textId="77777777" w:rsidR="004953C0" w:rsidRDefault="004953C0" w:rsidP="004953C0">
      <w:pPr>
        <w:jc w:val="center"/>
        <w:rPr>
          <w:rFonts w:ascii="Times New Roman" w:hAnsi="Times New Roman" w:cs="Times New Roman"/>
          <w:b/>
          <w:sz w:val="24"/>
          <w:szCs w:val="24"/>
          <w:lang w:val="hr-HR"/>
        </w:rPr>
      </w:pPr>
    </w:p>
    <w:p w14:paraId="35D6B3F9" w14:textId="0CEA75C4" w:rsidR="004953C0" w:rsidRDefault="004953C0" w:rsidP="004953C0">
      <w:pPr>
        <w:jc w:val="center"/>
        <w:rPr>
          <w:rFonts w:ascii="Times New Roman" w:hAnsi="Times New Roman" w:cs="Times New Roman"/>
          <w:b/>
          <w:sz w:val="24"/>
          <w:szCs w:val="24"/>
          <w:lang w:val="hr-HR"/>
        </w:rPr>
      </w:pPr>
    </w:p>
    <w:p w14:paraId="19B497CD" w14:textId="6238D518" w:rsidR="004953C0" w:rsidRDefault="004953C0" w:rsidP="004953C0">
      <w:pPr>
        <w:jc w:val="center"/>
        <w:rPr>
          <w:rFonts w:ascii="Times New Roman" w:hAnsi="Times New Roman" w:cs="Times New Roman"/>
          <w:b/>
          <w:sz w:val="24"/>
          <w:szCs w:val="24"/>
          <w:lang w:val="hr-HR"/>
        </w:rPr>
      </w:pPr>
    </w:p>
    <w:p w14:paraId="3953DC7A" w14:textId="2D762C6F" w:rsidR="004953C0" w:rsidRDefault="004953C0" w:rsidP="004953C0">
      <w:pPr>
        <w:jc w:val="center"/>
        <w:rPr>
          <w:rFonts w:ascii="Times New Roman" w:hAnsi="Times New Roman" w:cs="Times New Roman"/>
          <w:b/>
          <w:sz w:val="24"/>
          <w:szCs w:val="24"/>
          <w:lang w:val="hr-HR"/>
        </w:rPr>
      </w:pPr>
    </w:p>
    <w:p w14:paraId="29936B34" w14:textId="77777777" w:rsidR="004953C0" w:rsidRDefault="004953C0" w:rsidP="004953C0">
      <w:pPr>
        <w:jc w:val="center"/>
        <w:rPr>
          <w:rFonts w:ascii="Times New Roman" w:hAnsi="Times New Roman" w:cs="Times New Roman"/>
          <w:b/>
          <w:sz w:val="24"/>
          <w:szCs w:val="24"/>
          <w:lang w:val="hr-HR"/>
        </w:rPr>
      </w:pPr>
    </w:p>
    <w:p w14:paraId="6E2B5395" w14:textId="77777777" w:rsidR="004953C0" w:rsidRPr="004953C0" w:rsidRDefault="004953C0" w:rsidP="004953C0">
      <w:pPr>
        <w:pBdr>
          <w:bottom w:val="single" w:sz="12" w:space="1" w:color="auto"/>
        </w:pBdr>
        <w:spacing w:after="0" w:line="240" w:lineRule="auto"/>
        <w:jc w:val="center"/>
        <w:rPr>
          <w:rFonts w:ascii="Times New Roman" w:eastAsia="Times New Roman" w:hAnsi="Times New Roman" w:cs="Times New Roman"/>
          <w:b/>
          <w:bCs/>
          <w:sz w:val="24"/>
          <w:szCs w:val="24"/>
          <w:lang w:val="hr-HR" w:eastAsia="hr-HR"/>
        </w:rPr>
      </w:pPr>
    </w:p>
    <w:p w14:paraId="7BD24DAA" w14:textId="2CE88923" w:rsidR="004953C0" w:rsidRPr="004953C0" w:rsidRDefault="004953C0" w:rsidP="004953C0">
      <w:pPr>
        <w:jc w:val="center"/>
        <w:rPr>
          <w:rFonts w:ascii="Times New Roman" w:hAnsi="Times New Roman" w:cs="Times New Roman"/>
          <w:b/>
          <w:sz w:val="24"/>
          <w:szCs w:val="24"/>
          <w:lang w:val="hr-HR"/>
        </w:rPr>
      </w:pPr>
      <w:r w:rsidRPr="004953C0">
        <w:rPr>
          <w:rFonts w:ascii="Times New Roman" w:hAnsi="Times New Roman" w:cs="Times New Roman"/>
          <w:b/>
          <w:bCs/>
          <w:sz w:val="24"/>
          <w:szCs w:val="24"/>
          <w:lang w:val="hr-HR"/>
        </w:rPr>
        <w:t>Zagreb, studeni 2025.</w:t>
      </w:r>
    </w:p>
    <w:p w14:paraId="075C03F1" w14:textId="10015158" w:rsidR="004953C0" w:rsidRDefault="004953C0">
      <w:pPr>
        <w:rPr>
          <w:rFonts w:asciiTheme="majorHAnsi" w:hAnsiTheme="majorHAnsi"/>
          <w:b/>
          <w:color w:val="365F91" w:themeColor="accent1" w:themeShade="BF"/>
          <w:sz w:val="28"/>
          <w:lang w:val="hr-HR"/>
        </w:rPr>
      </w:pPr>
      <w:r>
        <w:rPr>
          <w:rFonts w:asciiTheme="majorHAnsi" w:hAnsiTheme="majorHAnsi"/>
          <w:b/>
          <w:color w:val="365F91" w:themeColor="accent1" w:themeShade="BF"/>
          <w:sz w:val="28"/>
          <w:lang w:val="hr-HR"/>
        </w:rPr>
        <w:br w:type="page"/>
      </w:r>
    </w:p>
    <w:p w14:paraId="43F3444F" w14:textId="00ACFC69" w:rsidR="00695821" w:rsidRPr="006B0F2A" w:rsidRDefault="00695821" w:rsidP="00695821">
      <w:pPr>
        <w:rPr>
          <w:rFonts w:asciiTheme="majorHAnsi" w:hAnsiTheme="majorHAnsi"/>
          <w:b/>
          <w:color w:val="365F91" w:themeColor="accent1" w:themeShade="BF"/>
          <w:sz w:val="28"/>
          <w:lang w:val="hr-HR"/>
        </w:rPr>
      </w:pPr>
      <w:r w:rsidRPr="006B0F2A">
        <w:rPr>
          <w:rFonts w:asciiTheme="majorHAnsi" w:hAnsiTheme="majorHAnsi"/>
          <w:b/>
          <w:color w:val="365F91" w:themeColor="accent1" w:themeShade="BF"/>
          <w:sz w:val="28"/>
          <w:lang w:val="hr-HR"/>
        </w:rPr>
        <w:lastRenderedPageBreak/>
        <w:t>SADRŽAJ</w:t>
      </w:r>
    </w:p>
    <w:sdt>
      <w:sdtPr>
        <w:rPr>
          <w:rFonts w:asciiTheme="minorHAnsi" w:eastAsiaTheme="minorHAnsi" w:hAnsiTheme="minorHAnsi" w:cstheme="minorBidi"/>
          <w:b w:val="0"/>
          <w:bCs w:val="0"/>
          <w:color w:val="auto"/>
          <w:sz w:val="22"/>
          <w:szCs w:val="22"/>
          <w:lang w:val="hr-HR" w:eastAsia="en-US"/>
        </w:rPr>
        <w:id w:val="-814332695"/>
        <w:docPartObj>
          <w:docPartGallery w:val="Table of Contents"/>
          <w:docPartUnique/>
        </w:docPartObj>
      </w:sdtPr>
      <w:sdtEndPr/>
      <w:sdtContent>
        <w:p w14:paraId="6690643D" w14:textId="77777777" w:rsidR="00C93283" w:rsidRPr="006B0F2A" w:rsidRDefault="00C93283">
          <w:pPr>
            <w:pStyle w:val="TOCHeading"/>
            <w:rPr>
              <w:lang w:val="hr-HR"/>
            </w:rPr>
          </w:pPr>
        </w:p>
        <w:p w14:paraId="4C625452" w14:textId="1AF9B3E0" w:rsidR="002D3CB0" w:rsidRDefault="00C93283">
          <w:pPr>
            <w:pStyle w:val="TOC1"/>
            <w:rPr>
              <w:rFonts w:eastAsiaTheme="minorEastAsia"/>
              <w:noProof/>
              <w:lang w:val="hr-HR" w:eastAsia="hr-HR"/>
            </w:rPr>
          </w:pPr>
          <w:r w:rsidRPr="006B0F2A">
            <w:rPr>
              <w:lang w:val="hr-HR"/>
            </w:rPr>
            <w:fldChar w:fldCharType="begin"/>
          </w:r>
          <w:r w:rsidRPr="006B0F2A">
            <w:rPr>
              <w:lang w:val="hr-HR"/>
            </w:rPr>
            <w:instrText xml:space="preserve"> TOC \o "1-3" \h \z \u </w:instrText>
          </w:r>
          <w:r w:rsidRPr="006B0F2A">
            <w:rPr>
              <w:lang w:val="hr-HR"/>
            </w:rPr>
            <w:fldChar w:fldCharType="separate"/>
          </w:r>
          <w:hyperlink w:anchor="_Toc213857299" w:history="1">
            <w:r w:rsidR="002D3CB0" w:rsidRPr="004A6135">
              <w:rPr>
                <w:rStyle w:val="Hyperlink"/>
                <w:noProof/>
                <w:lang w:val="hr-HR"/>
              </w:rPr>
              <w:t>1.</w:t>
            </w:r>
            <w:r w:rsidR="002D3CB0">
              <w:rPr>
                <w:rFonts w:eastAsiaTheme="minorEastAsia"/>
                <w:noProof/>
                <w:lang w:val="hr-HR" w:eastAsia="hr-HR"/>
              </w:rPr>
              <w:tab/>
            </w:r>
            <w:r w:rsidR="002D3CB0" w:rsidRPr="004A6135">
              <w:rPr>
                <w:rStyle w:val="Hyperlink"/>
                <w:noProof/>
                <w:lang w:val="hr-HR"/>
              </w:rPr>
              <w:t>UVOD</w:t>
            </w:r>
            <w:r w:rsidR="002D3CB0">
              <w:rPr>
                <w:noProof/>
                <w:webHidden/>
              </w:rPr>
              <w:tab/>
            </w:r>
            <w:r w:rsidR="002D3CB0">
              <w:rPr>
                <w:noProof/>
                <w:webHidden/>
              </w:rPr>
              <w:fldChar w:fldCharType="begin"/>
            </w:r>
            <w:r w:rsidR="002D3CB0">
              <w:rPr>
                <w:noProof/>
                <w:webHidden/>
              </w:rPr>
              <w:instrText xml:space="preserve"> PAGEREF _Toc213857299 \h </w:instrText>
            </w:r>
            <w:r w:rsidR="002D3CB0">
              <w:rPr>
                <w:noProof/>
                <w:webHidden/>
              </w:rPr>
            </w:r>
            <w:r w:rsidR="002D3CB0">
              <w:rPr>
                <w:noProof/>
                <w:webHidden/>
              </w:rPr>
              <w:fldChar w:fldCharType="separate"/>
            </w:r>
            <w:r w:rsidR="004953C0">
              <w:rPr>
                <w:noProof/>
                <w:webHidden/>
              </w:rPr>
              <w:t>3</w:t>
            </w:r>
            <w:r w:rsidR="002D3CB0">
              <w:rPr>
                <w:noProof/>
                <w:webHidden/>
              </w:rPr>
              <w:fldChar w:fldCharType="end"/>
            </w:r>
          </w:hyperlink>
        </w:p>
        <w:p w14:paraId="7349B7A9" w14:textId="193B219F" w:rsidR="002D3CB0" w:rsidRDefault="004953C0">
          <w:pPr>
            <w:pStyle w:val="TOC1"/>
            <w:rPr>
              <w:rFonts w:eastAsiaTheme="minorEastAsia"/>
              <w:noProof/>
              <w:lang w:val="hr-HR" w:eastAsia="hr-HR"/>
            </w:rPr>
          </w:pPr>
          <w:hyperlink w:anchor="_Toc213857300" w:history="1">
            <w:r w:rsidR="002D3CB0" w:rsidRPr="004A6135">
              <w:rPr>
                <w:rStyle w:val="Hyperlink"/>
                <w:noProof/>
                <w:lang w:val="hr-HR"/>
              </w:rPr>
              <w:t>2.</w:t>
            </w:r>
            <w:r w:rsidR="002D3CB0">
              <w:rPr>
                <w:rFonts w:eastAsiaTheme="minorEastAsia"/>
                <w:noProof/>
                <w:lang w:val="hr-HR" w:eastAsia="hr-HR"/>
              </w:rPr>
              <w:tab/>
            </w:r>
            <w:r w:rsidR="002D3CB0" w:rsidRPr="004A6135">
              <w:rPr>
                <w:rStyle w:val="Hyperlink"/>
                <w:noProof/>
                <w:lang w:val="hr-HR"/>
              </w:rPr>
              <w:t>MAKROEKONOMSKI OKVIR</w:t>
            </w:r>
            <w:r w:rsidR="002D3CB0">
              <w:rPr>
                <w:noProof/>
                <w:webHidden/>
              </w:rPr>
              <w:tab/>
            </w:r>
            <w:r w:rsidR="002D3CB0">
              <w:rPr>
                <w:noProof/>
                <w:webHidden/>
              </w:rPr>
              <w:fldChar w:fldCharType="begin"/>
            </w:r>
            <w:r w:rsidR="002D3CB0">
              <w:rPr>
                <w:noProof/>
                <w:webHidden/>
              </w:rPr>
              <w:instrText xml:space="preserve"> PAGEREF _Toc213857300 \h </w:instrText>
            </w:r>
            <w:r w:rsidR="002D3CB0">
              <w:rPr>
                <w:noProof/>
                <w:webHidden/>
              </w:rPr>
            </w:r>
            <w:r w:rsidR="002D3CB0">
              <w:rPr>
                <w:noProof/>
                <w:webHidden/>
              </w:rPr>
              <w:fldChar w:fldCharType="separate"/>
            </w:r>
            <w:r>
              <w:rPr>
                <w:noProof/>
                <w:webHidden/>
              </w:rPr>
              <w:t>5</w:t>
            </w:r>
            <w:r w:rsidR="002D3CB0">
              <w:rPr>
                <w:noProof/>
                <w:webHidden/>
              </w:rPr>
              <w:fldChar w:fldCharType="end"/>
            </w:r>
          </w:hyperlink>
        </w:p>
        <w:p w14:paraId="6E17C17B" w14:textId="7A7F3AB3" w:rsidR="002D3CB0" w:rsidRDefault="004953C0">
          <w:pPr>
            <w:pStyle w:val="TOC1"/>
            <w:rPr>
              <w:rFonts w:eastAsiaTheme="minorEastAsia"/>
              <w:noProof/>
              <w:lang w:val="hr-HR" w:eastAsia="hr-HR"/>
            </w:rPr>
          </w:pPr>
          <w:hyperlink w:anchor="_Toc213857301" w:history="1">
            <w:r w:rsidR="002D3CB0" w:rsidRPr="004A6135">
              <w:rPr>
                <w:rStyle w:val="Hyperlink"/>
                <w:noProof/>
                <w:lang w:val="hr-HR"/>
              </w:rPr>
              <w:t>2.</w:t>
            </w:r>
            <w:r w:rsidR="002D3CB0">
              <w:rPr>
                <w:rFonts w:eastAsiaTheme="minorEastAsia"/>
                <w:noProof/>
                <w:lang w:val="hr-HR" w:eastAsia="hr-HR"/>
              </w:rPr>
              <w:tab/>
            </w:r>
            <w:r w:rsidR="002D3CB0" w:rsidRPr="004A6135">
              <w:rPr>
                <w:rStyle w:val="Hyperlink"/>
                <w:noProof/>
                <w:lang w:val="hr-HR"/>
              </w:rPr>
              <w:t>PRIHODI DRŽAVNOG PRORAČUNA</w:t>
            </w:r>
            <w:r w:rsidR="002D3CB0">
              <w:rPr>
                <w:noProof/>
                <w:webHidden/>
              </w:rPr>
              <w:tab/>
            </w:r>
            <w:r w:rsidR="002D3CB0">
              <w:rPr>
                <w:noProof/>
                <w:webHidden/>
              </w:rPr>
              <w:fldChar w:fldCharType="begin"/>
            </w:r>
            <w:r w:rsidR="002D3CB0">
              <w:rPr>
                <w:noProof/>
                <w:webHidden/>
              </w:rPr>
              <w:instrText xml:space="preserve"> PAGEREF _Toc213857301 \h </w:instrText>
            </w:r>
            <w:r w:rsidR="002D3CB0">
              <w:rPr>
                <w:noProof/>
                <w:webHidden/>
              </w:rPr>
            </w:r>
            <w:r w:rsidR="002D3CB0">
              <w:rPr>
                <w:noProof/>
                <w:webHidden/>
              </w:rPr>
              <w:fldChar w:fldCharType="separate"/>
            </w:r>
            <w:r>
              <w:rPr>
                <w:noProof/>
                <w:webHidden/>
              </w:rPr>
              <w:t>12</w:t>
            </w:r>
            <w:r w:rsidR="002D3CB0">
              <w:rPr>
                <w:noProof/>
                <w:webHidden/>
              </w:rPr>
              <w:fldChar w:fldCharType="end"/>
            </w:r>
          </w:hyperlink>
        </w:p>
        <w:p w14:paraId="20668BE3" w14:textId="404020AA" w:rsidR="002D3CB0" w:rsidRDefault="004953C0">
          <w:pPr>
            <w:pStyle w:val="TOC1"/>
            <w:rPr>
              <w:rFonts w:eastAsiaTheme="minorEastAsia"/>
              <w:noProof/>
              <w:lang w:val="hr-HR" w:eastAsia="hr-HR"/>
            </w:rPr>
          </w:pPr>
          <w:hyperlink w:anchor="_Toc213857302" w:history="1">
            <w:r w:rsidR="002D3CB0" w:rsidRPr="004A6135">
              <w:rPr>
                <w:rStyle w:val="Hyperlink"/>
                <w:noProof/>
                <w:lang w:val="hr-HR"/>
              </w:rPr>
              <w:t>3.</w:t>
            </w:r>
            <w:r w:rsidR="002D3CB0">
              <w:rPr>
                <w:rFonts w:eastAsiaTheme="minorEastAsia"/>
                <w:noProof/>
                <w:lang w:val="hr-HR" w:eastAsia="hr-HR"/>
              </w:rPr>
              <w:tab/>
            </w:r>
            <w:r w:rsidR="002D3CB0" w:rsidRPr="004A6135">
              <w:rPr>
                <w:rStyle w:val="Hyperlink"/>
                <w:noProof/>
                <w:lang w:val="hr-HR"/>
              </w:rPr>
              <w:t>RASHODI DRŽAVNOG PRORAČUNA</w:t>
            </w:r>
            <w:r w:rsidR="002D3CB0">
              <w:rPr>
                <w:noProof/>
                <w:webHidden/>
              </w:rPr>
              <w:tab/>
            </w:r>
            <w:r w:rsidR="002D3CB0">
              <w:rPr>
                <w:noProof/>
                <w:webHidden/>
              </w:rPr>
              <w:fldChar w:fldCharType="begin"/>
            </w:r>
            <w:r w:rsidR="002D3CB0">
              <w:rPr>
                <w:noProof/>
                <w:webHidden/>
              </w:rPr>
              <w:instrText xml:space="preserve"> PAGEREF _Toc213857302 \h </w:instrText>
            </w:r>
            <w:r w:rsidR="002D3CB0">
              <w:rPr>
                <w:noProof/>
                <w:webHidden/>
              </w:rPr>
            </w:r>
            <w:r w:rsidR="002D3CB0">
              <w:rPr>
                <w:noProof/>
                <w:webHidden/>
              </w:rPr>
              <w:fldChar w:fldCharType="separate"/>
            </w:r>
            <w:r>
              <w:rPr>
                <w:noProof/>
                <w:webHidden/>
              </w:rPr>
              <w:t>16</w:t>
            </w:r>
            <w:r w:rsidR="002D3CB0">
              <w:rPr>
                <w:noProof/>
                <w:webHidden/>
              </w:rPr>
              <w:fldChar w:fldCharType="end"/>
            </w:r>
          </w:hyperlink>
        </w:p>
        <w:p w14:paraId="19115537" w14:textId="53D6752F" w:rsidR="002D3CB0" w:rsidRDefault="004953C0">
          <w:pPr>
            <w:pStyle w:val="TOC2"/>
            <w:tabs>
              <w:tab w:val="left" w:pos="880"/>
              <w:tab w:val="right" w:leader="dot" w:pos="9062"/>
            </w:tabs>
            <w:rPr>
              <w:rFonts w:eastAsiaTheme="minorEastAsia"/>
              <w:noProof/>
              <w:lang w:val="hr-HR" w:eastAsia="hr-HR"/>
            </w:rPr>
          </w:pPr>
          <w:hyperlink w:anchor="_Toc213857303" w:history="1">
            <w:r w:rsidR="002D3CB0" w:rsidRPr="004A6135">
              <w:rPr>
                <w:rStyle w:val="Hyperlink"/>
                <w:noProof/>
                <w:lang w:val="hr-HR"/>
              </w:rPr>
              <w:t>4.1.</w:t>
            </w:r>
            <w:r w:rsidR="002D3CB0">
              <w:rPr>
                <w:rFonts w:eastAsiaTheme="minorEastAsia"/>
                <w:noProof/>
                <w:lang w:val="hr-HR" w:eastAsia="hr-HR"/>
              </w:rPr>
              <w:tab/>
            </w:r>
            <w:r w:rsidR="002D3CB0" w:rsidRPr="004A6135">
              <w:rPr>
                <w:rStyle w:val="Hyperlink"/>
                <w:noProof/>
                <w:lang w:val="hr-HR"/>
              </w:rPr>
              <w:t>Obrazloženje rashoda po ekonomskoj klasifikaciji</w:t>
            </w:r>
            <w:r w:rsidR="002D3CB0">
              <w:rPr>
                <w:noProof/>
                <w:webHidden/>
              </w:rPr>
              <w:tab/>
            </w:r>
            <w:r w:rsidR="002D3CB0">
              <w:rPr>
                <w:noProof/>
                <w:webHidden/>
              </w:rPr>
              <w:fldChar w:fldCharType="begin"/>
            </w:r>
            <w:r w:rsidR="002D3CB0">
              <w:rPr>
                <w:noProof/>
                <w:webHidden/>
              </w:rPr>
              <w:instrText xml:space="preserve"> PAGEREF _Toc213857303 \h </w:instrText>
            </w:r>
            <w:r w:rsidR="002D3CB0">
              <w:rPr>
                <w:noProof/>
                <w:webHidden/>
              </w:rPr>
            </w:r>
            <w:r w:rsidR="002D3CB0">
              <w:rPr>
                <w:noProof/>
                <w:webHidden/>
              </w:rPr>
              <w:fldChar w:fldCharType="separate"/>
            </w:r>
            <w:r>
              <w:rPr>
                <w:noProof/>
                <w:webHidden/>
              </w:rPr>
              <w:t>20</w:t>
            </w:r>
            <w:r w:rsidR="002D3CB0">
              <w:rPr>
                <w:noProof/>
                <w:webHidden/>
              </w:rPr>
              <w:fldChar w:fldCharType="end"/>
            </w:r>
          </w:hyperlink>
        </w:p>
        <w:p w14:paraId="48FED8FA" w14:textId="56F0A018" w:rsidR="002D3CB0" w:rsidRDefault="004953C0">
          <w:pPr>
            <w:pStyle w:val="TOC2"/>
            <w:tabs>
              <w:tab w:val="left" w:pos="880"/>
              <w:tab w:val="right" w:leader="dot" w:pos="9062"/>
            </w:tabs>
            <w:rPr>
              <w:rFonts w:eastAsiaTheme="minorEastAsia"/>
              <w:noProof/>
              <w:lang w:val="hr-HR" w:eastAsia="hr-HR"/>
            </w:rPr>
          </w:pPr>
          <w:hyperlink w:anchor="_Toc213857304" w:history="1">
            <w:r w:rsidR="002D3CB0" w:rsidRPr="004A6135">
              <w:rPr>
                <w:rStyle w:val="Hyperlink"/>
                <w:noProof/>
                <w:lang w:val="hr-HR"/>
              </w:rPr>
              <w:t>4.2.</w:t>
            </w:r>
            <w:r w:rsidR="002D3CB0">
              <w:rPr>
                <w:rFonts w:eastAsiaTheme="minorEastAsia"/>
                <w:noProof/>
                <w:lang w:val="hr-HR" w:eastAsia="hr-HR"/>
              </w:rPr>
              <w:tab/>
            </w:r>
            <w:r w:rsidR="002D3CB0" w:rsidRPr="004A6135">
              <w:rPr>
                <w:rStyle w:val="Hyperlink"/>
                <w:noProof/>
                <w:lang w:val="hr-HR"/>
              </w:rPr>
              <w:t>Obrazloženje rashoda po funkcijskoj klasifikaciji</w:t>
            </w:r>
            <w:r w:rsidR="002D3CB0">
              <w:rPr>
                <w:noProof/>
                <w:webHidden/>
              </w:rPr>
              <w:tab/>
            </w:r>
            <w:r w:rsidR="002D3CB0">
              <w:rPr>
                <w:noProof/>
                <w:webHidden/>
              </w:rPr>
              <w:fldChar w:fldCharType="begin"/>
            </w:r>
            <w:r w:rsidR="002D3CB0">
              <w:rPr>
                <w:noProof/>
                <w:webHidden/>
              </w:rPr>
              <w:instrText xml:space="preserve"> PAGEREF _Toc213857304 \h </w:instrText>
            </w:r>
            <w:r w:rsidR="002D3CB0">
              <w:rPr>
                <w:noProof/>
                <w:webHidden/>
              </w:rPr>
            </w:r>
            <w:r w:rsidR="002D3CB0">
              <w:rPr>
                <w:noProof/>
                <w:webHidden/>
              </w:rPr>
              <w:fldChar w:fldCharType="separate"/>
            </w:r>
            <w:r>
              <w:rPr>
                <w:noProof/>
                <w:webHidden/>
              </w:rPr>
              <w:t>23</w:t>
            </w:r>
            <w:r w:rsidR="002D3CB0">
              <w:rPr>
                <w:noProof/>
                <w:webHidden/>
              </w:rPr>
              <w:fldChar w:fldCharType="end"/>
            </w:r>
          </w:hyperlink>
        </w:p>
        <w:p w14:paraId="73D6B8EC" w14:textId="2BCFF5B5" w:rsidR="002D3CB0" w:rsidRDefault="004953C0">
          <w:pPr>
            <w:pStyle w:val="TOC1"/>
            <w:rPr>
              <w:rFonts w:eastAsiaTheme="minorEastAsia"/>
              <w:noProof/>
              <w:lang w:val="hr-HR" w:eastAsia="hr-HR"/>
            </w:rPr>
          </w:pPr>
          <w:hyperlink w:anchor="_Toc213857305" w:history="1">
            <w:r w:rsidR="002D3CB0" w:rsidRPr="004A6135">
              <w:rPr>
                <w:rStyle w:val="Hyperlink"/>
                <w:noProof/>
                <w:lang w:val="hr-HR"/>
              </w:rPr>
              <w:t>4.</w:t>
            </w:r>
            <w:r w:rsidR="002D3CB0">
              <w:rPr>
                <w:rFonts w:eastAsiaTheme="minorEastAsia"/>
                <w:noProof/>
                <w:lang w:val="hr-HR" w:eastAsia="hr-HR"/>
              </w:rPr>
              <w:tab/>
            </w:r>
            <w:r w:rsidR="002D3CB0" w:rsidRPr="004A6135">
              <w:rPr>
                <w:rStyle w:val="Hyperlink"/>
                <w:noProof/>
                <w:lang w:val="hr-HR"/>
              </w:rPr>
              <w:t>UKUPNI MANJAK/VIŠAK DRŽAVNOG PRORAČUNA</w:t>
            </w:r>
            <w:r w:rsidR="002D3CB0">
              <w:rPr>
                <w:noProof/>
                <w:webHidden/>
              </w:rPr>
              <w:tab/>
            </w:r>
            <w:r w:rsidR="002D3CB0">
              <w:rPr>
                <w:noProof/>
                <w:webHidden/>
              </w:rPr>
              <w:fldChar w:fldCharType="begin"/>
            </w:r>
            <w:r w:rsidR="002D3CB0">
              <w:rPr>
                <w:noProof/>
                <w:webHidden/>
              </w:rPr>
              <w:instrText xml:space="preserve"> PAGEREF _Toc213857305 \h </w:instrText>
            </w:r>
            <w:r w:rsidR="002D3CB0">
              <w:rPr>
                <w:noProof/>
                <w:webHidden/>
              </w:rPr>
            </w:r>
            <w:r w:rsidR="002D3CB0">
              <w:rPr>
                <w:noProof/>
                <w:webHidden/>
              </w:rPr>
              <w:fldChar w:fldCharType="separate"/>
            </w:r>
            <w:r>
              <w:rPr>
                <w:noProof/>
                <w:webHidden/>
              </w:rPr>
              <w:t>24</w:t>
            </w:r>
            <w:r w:rsidR="002D3CB0">
              <w:rPr>
                <w:noProof/>
                <w:webHidden/>
              </w:rPr>
              <w:fldChar w:fldCharType="end"/>
            </w:r>
          </w:hyperlink>
        </w:p>
        <w:p w14:paraId="0F81283A" w14:textId="1D970F9F" w:rsidR="002D3CB0" w:rsidRDefault="004953C0">
          <w:pPr>
            <w:pStyle w:val="TOC1"/>
            <w:rPr>
              <w:rFonts w:eastAsiaTheme="minorEastAsia"/>
              <w:noProof/>
              <w:lang w:val="hr-HR" w:eastAsia="hr-HR"/>
            </w:rPr>
          </w:pPr>
          <w:hyperlink w:anchor="_Toc213857306" w:history="1">
            <w:r w:rsidR="002D3CB0" w:rsidRPr="004A6135">
              <w:rPr>
                <w:rStyle w:val="Hyperlink"/>
                <w:noProof/>
                <w:lang w:val="hr-HR"/>
              </w:rPr>
              <w:t>5.</w:t>
            </w:r>
            <w:r w:rsidR="002D3CB0">
              <w:rPr>
                <w:rFonts w:eastAsiaTheme="minorEastAsia"/>
                <w:noProof/>
                <w:lang w:val="hr-HR" w:eastAsia="hr-HR"/>
              </w:rPr>
              <w:tab/>
            </w:r>
            <w:r w:rsidR="002D3CB0" w:rsidRPr="004A6135">
              <w:rPr>
                <w:rStyle w:val="Hyperlink"/>
                <w:noProof/>
                <w:lang w:val="hr-HR"/>
              </w:rPr>
              <w:t>RAČUN FINANCIRANJA DRŽAVNOG PRORAČUNA</w:t>
            </w:r>
            <w:r w:rsidR="002D3CB0">
              <w:rPr>
                <w:noProof/>
                <w:webHidden/>
              </w:rPr>
              <w:tab/>
            </w:r>
            <w:r w:rsidR="002D3CB0">
              <w:rPr>
                <w:noProof/>
                <w:webHidden/>
              </w:rPr>
              <w:fldChar w:fldCharType="begin"/>
            </w:r>
            <w:r w:rsidR="002D3CB0">
              <w:rPr>
                <w:noProof/>
                <w:webHidden/>
              </w:rPr>
              <w:instrText xml:space="preserve"> PAGEREF _Toc213857306 \h </w:instrText>
            </w:r>
            <w:r w:rsidR="002D3CB0">
              <w:rPr>
                <w:noProof/>
                <w:webHidden/>
              </w:rPr>
            </w:r>
            <w:r w:rsidR="002D3CB0">
              <w:rPr>
                <w:noProof/>
                <w:webHidden/>
              </w:rPr>
              <w:fldChar w:fldCharType="separate"/>
            </w:r>
            <w:r>
              <w:rPr>
                <w:noProof/>
                <w:webHidden/>
              </w:rPr>
              <w:t>25</w:t>
            </w:r>
            <w:r w:rsidR="002D3CB0">
              <w:rPr>
                <w:noProof/>
                <w:webHidden/>
              </w:rPr>
              <w:fldChar w:fldCharType="end"/>
            </w:r>
          </w:hyperlink>
        </w:p>
        <w:p w14:paraId="68F10186" w14:textId="58ECE6FB" w:rsidR="002D3CB0" w:rsidRDefault="004953C0">
          <w:pPr>
            <w:pStyle w:val="TOC1"/>
            <w:rPr>
              <w:rFonts w:eastAsiaTheme="minorEastAsia"/>
              <w:noProof/>
              <w:lang w:val="hr-HR" w:eastAsia="hr-HR"/>
            </w:rPr>
          </w:pPr>
          <w:hyperlink w:anchor="_Toc213857307" w:history="1">
            <w:r w:rsidR="002D3CB0" w:rsidRPr="004A6135">
              <w:rPr>
                <w:rStyle w:val="Hyperlink"/>
                <w:noProof/>
                <w:lang w:val="hr-HR"/>
              </w:rPr>
              <w:t>6.</w:t>
            </w:r>
            <w:r w:rsidR="002D3CB0">
              <w:rPr>
                <w:rFonts w:eastAsiaTheme="minorEastAsia"/>
                <w:noProof/>
                <w:lang w:val="hr-HR" w:eastAsia="hr-HR"/>
              </w:rPr>
              <w:tab/>
            </w:r>
            <w:r w:rsidR="002D3CB0" w:rsidRPr="004A6135">
              <w:rPr>
                <w:rStyle w:val="Hyperlink"/>
                <w:noProof/>
                <w:lang w:val="hr-HR"/>
              </w:rPr>
              <w:t>STANJE DOSPJELIH NEPODMIRENIH OBVEZA PRORAČUNSKIH KORISNIKA DRŽAVNOG PRORAČUNA</w:t>
            </w:r>
            <w:r w:rsidR="002D3CB0">
              <w:rPr>
                <w:noProof/>
                <w:webHidden/>
              </w:rPr>
              <w:tab/>
            </w:r>
            <w:r w:rsidR="002D3CB0">
              <w:rPr>
                <w:noProof/>
                <w:webHidden/>
              </w:rPr>
              <w:fldChar w:fldCharType="begin"/>
            </w:r>
            <w:r w:rsidR="002D3CB0">
              <w:rPr>
                <w:noProof/>
                <w:webHidden/>
              </w:rPr>
              <w:instrText xml:space="preserve"> PAGEREF _Toc213857307 \h </w:instrText>
            </w:r>
            <w:r w:rsidR="002D3CB0">
              <w:rPr>
                <w:noProof/>
                <w:webHidden/>
              </w:rPr>
            </w:r>
            <w:r w:rsidR="002D3CB0">
              <w:rPr>
                <w:noProof/>
                <w:webHidden/>
              </w:rPr>
              <w:fldChar w:fldCharType="separate"/>
            </w:r>
            <w:r>
              <w:rPr>
                <w:noProof/>
                <w:webHidden/>
              </w:rPr>
              <w:t>27</w:t>
            </w:r>
            <w:r w:rsidR="002D3CB0">
              <w:rPr>
                <w:noProof/>
                <w:webHidden/>
              </w:rPr>
              <w:fldChar w:fldCharType="end"/>
            </w:r>
          </w:hyperlink>
        </w:p>
        <w:p w14:paraId="00D46453" w14:textId="4FE65A4B" w:rsidR="002D3CB0" w:rsidRDefault="004953C0">
          <w:pPr>
            <w:pStyle w:val="TOC1"/>
            <w:rPr>
              <w:rFonts w:eastAsiaTheme="minorEastAsia"/>
              <w:noProof/>
              <w:lang w:val="hr-HR" w:eastAsia="hr-HR"/>
            </w:rPr>
          </w:pPr>
          <w:hyperlink w:anchor="_Toc213857308" w:history="1">
            <w:r w:rsidR="002D3CB0" w:rsidRPr="004A6135">
              <w:rPr>
                <w:rStyle w:val="Hyperlink"/>
                <w:noProof/>
                <w:lang w:val="hr-HR"/>
              </w:rPr>
              <w:t>7.</w:t>
            </w:r>
            <w:r w:rsidR="002D3CB0">
              <w:rPr>
                <w:rFonts w:eastAsiaTheme="minorEastAsia"/>
                <w:noProof/>
                <w:lang w:val="hr-HR" w:eastAsia="hr-HR"/>
              </w:rPr>
              <w:tab/>
            </w:r>
            <w:r w:rsidR="002D3CB0" w:rsidRPr="004A6135">
              <w:rPr>
                <w:rStyle w:val="Hyperlink"/>
                <w:noProof/>
                <w:lang w:val="hr-HR"/>
              </w:rPr>
              <w:t>PROCJENA UKUPNOG MANJKA/VIŠKA OPĆE DRŽAVE</w:t>
            </w:r>
            <w:r w:rsidR="002D3CB0">
              <w:rPr>
                <w:noProof/>
                <w:webHidden/>
              </w:rPr>
              <w:tab/>
            </w:r>
            <w:r w:rsidR="002D3CB0">
              <w:rPr>
                <w:noProof/>
                <w:webHidden/>
              </w:rPr>
              <w:fldChar w:fldCharType="begin"/>
            </w:r>
            <w:r w:rsidR="002D3CB0">
              <w:rPr>
                <w:noProof/>
                <w:webHidden/>
              </w:rPr>
              <w:instrText xml:space="preserve"> PAGEREF _Toc213857308 \h </w:instrText>
            </w:r>
            <w:r w:rsidR="002D3CB0">
              <w:rPr>
                <w:noProof/>
                <w:webHidden/>
              </w:rPr>
            </w:r>
            <w:r w:rsidR="002D3CB0">
              <w:rPr>
                <w:noProof/>
                <w:webHidden/>
              </w:rPr>
              <w:fldChar w:fldCharType="separate"/>
            </w:r>
            <w:r>
              <w:rPr>
                <w:noProof/>
                <w:webHidden/>
              </w:rPr>
              <w:t>29</w:t>
            </w:r>
            <w:r w:rsidR="002D3CB0">
              <w:rPr>
                <w:noProof/>
                <w:webHidden/>
              </w:rPr>
              <w:fldChar w:fldCharType="end"/>
            </w:r>
          </w:hyperlink>
        </w:p>
        <w:p w14:paraId="6F19742E" w14:textId="77777777" w:rsidR="00C93283" w:rsidRPr="006B0F2A" w:rsidRDefault="00C93283">
          <w:pPr>
            <w:rPr>
              <w:lang w:val="hr-HR"/>
            </w:rPr>
          </w:pPr>
          <w:r w:rsidRPr="006B0F2A">
            <w:rPr>
              <w:b/>
              <w:bCs/>
              <w:lang w:val="hr-HR"/>
            </w:rPr>
            <w:fldChar w:fldCharType="end"/>
          </w:r>
        </w:p>
      </w:sdtContent>
    </w:sdt>
    <w:p w14:paraId="3E8AF31C" w14:textId="77777777" w:rsidR="00695821" w:rsidRPr="006B0F2A" w:rsidRDefault="00695821" w:rsidP="00695821">
      <w:pPr>
        <w:rPr>
          <w:lang w:val="hr-HR"/>
        </w:rPr>
      </w:pPr>
    </w:p>
    <w:p w14:paraId="739D5BDA" w14:textId="77777777" w:rsidR="00680042" w:rsidRPr="006B0F2A" w:rsidRDefault="00680042" w:rsidP="00695821">
      <w:pPr>
        <w:rPr>
          <w:lang w:val="hr-HR"/>
        </w:rPr>
      </w:pPr>
    </w:p>
    <w:p w14:paraId="76D99C80" w14:textId="77777777" w:rsidR="00695821" w:rsidRPr="006B0F2A" w:rsidRDefault="00695821" w:rsidP="00695821">
      <w:pPr>
        <w:rPr>
          <w:lang w:val="hr-HR"/>
        </w:rPr>
      </w:pPr>
      <w:r w:rsidRPr="006B0F2A">
        <w:rPr>
          <w:lang w:val="hr-HR"/>
        </w:rPr>
        <w:br w:type="page"/>
      </w:r>
    </w:p>
    <w:p w14:paraId="1555C055" w14:textId="77777777" w:rsidR="00EE258E" w:rsidRPr="002C2DC7" w:rsidRDefault="00695821" w:rsidP="00E77049">
      <w:pPr>
        <w:pStyle w:val="Heading1"/>
        <w:numPr>
          <w:ilvl w:val="0"/>
          <w:numId w:val="2"/>
        </w:numPr>
        <w:rPr>
          <w:lang w:val="hr-HR"/>
        </w:rPr>
      </w:pPr>
      <w:bookmarkStart w:id="1" w:name="_Toc213857299"/>
      <w:r w:rsidRPr="002C2DC7">
        <w:rPr>
          <w:lang w:val="hr-HR"/>
        </w:rPr>
        <w:lastRenderedPageBreak/>
        <w:t>UVOD</w:t>
      </w:r>
      <w:bookmarkEnd w:id="1"/>
    </w:p>
    <w:p w14:paraId="15C02AAA" w14:textId="77777777" w:rsidR="000E22F7" w:rsidRPr="000E22F7" w:rsidRDefault="000E22F7" w:rsidP="000E22F7">
      <w:pPr>
        <w:rPr>
          <w:lang w:val="hr-HR"/>
        </w:rPr>
      </w:pPr>
    </w:p>
    <w:p w14:paraId="08316E90" w14:textId="263514CE" w:rsidR="009D478D" w:rsidRPr="009D478D" w:rsidRDefault="009D478D" w:rsidP="009D478D">
      <w:pPr>
        <w:jc w:val="both"/>
        <w:rPr>
          <w:lang w:val="hr-HR"/>
        </w:rPr>
      </w:pPr>
      <w:r w:rsidRPr="009D478D">
        <w:rPr>
          <w:lang w:val="hr-HR"/>
        </w:rPr>
        <w:t xml:space="preserve">Nakon snažne gospodarske aktivnosti tijekom proteklih godina u uvjetima izražene nestabilnosti u međunarodnim političkim odnosima, pozitivni gospodarski rezultati i reformski iskoraci nastavljeni su i u tekućoj godini, usprkos i dalje visokom stupnju neizvjesnosti vezanim uz globalne geopolitičke napetosti oko uvjeta u </w:t>
      </w:r>
      <w:r w:rsidR="008B5CAF" w:rsidRPr="009D478D">
        <w:rPr>
          <w:lang w:val="hr-HR"/>
        </w:rPr>
        <w:t>trgovinsk</w:t>
      </w:r>
      <w:r w:rsidR="008B5CAF">
        <w:rPr>
          <w:lang w:val="hr-HR"/>
        </w:rPr>
        <w:t>oj</w:t>
      </w:r>
      <w:r w:rsidR="008B5CAF" w:rsidRPr="009D478D">
        <w:rPr>
          <w:lang w:val="hr-HR"/>
        </w:rPr>
        <w:t xml:space="preserve"> </w:t>
      </w:r>
      <w:r w:rsidRPr="009D478D">
        <w:rPr>
          <w:lang w:val="hr-HR"/>
        </w:rPr>
        <w:t xml:space="preserve">razmjeni. </w:t>
      </w:r>
    </w:p>
    <w:p w14:paraId="6B6B43A1" w14:textId="0F94F8A1" w:rsidR="008C7386" w:rsidRDefault="009D478D" w:rsidP="009D478D">
      <w:pPr>
        <w:jc w:val="both"/>
        <w:rPr>
          <w:lang w:val="hr-HR"/>
        </w:rPr>
      </w:pPr>
      <w:r w:rsidRPr="009D478D">
        <w:rPr>
          <w:lang w:val="hr-HR"/>
        </w:rPr>
        <w:t xml:space="preserve">Tako i u 2025. godini </w:t>
      </w:r>
      <w:r w:rsidR="00943636">
        <w:rPr>
          <w:lang w:val="hr-HR"/>
        </w:rPr>
        <w:t xml:space="preserve">Hrvatska </w:t>
      </w:r>
      <w:r w:rsidRPr="009D478D">
        <w:rPr>
          <w:lang w:val="hr-HR"/>
        </w:rPr>
        <w:t xml:space="preserve">nastavlja bilježiti stope gospodarskog rasta među najvišima u EU, uz znakove usporavanja dinamike na tržištu rada u uvjetima ponovno snažnije inflacijske dinamike. U takvim okolnostima, prihodna strana proračuna u 2025. određena je očekivanim rastom BDP-a od 3,2%, </w:t>
      </w:r>
      <w:r w:rsidR="0092508F" w:rsidRPr="0092508F">
        <w:rPr>
          <w:lang w:val="hr-HR"/>
        </w:rPr>
        <w:t>cjelogodišnj</w:t>
      </w:r>
      <w:r w:rsidR="0092508F">
        <w:rPr>
          <w:lang w:val="hr-HR"/>
        </w:rPr>
        <w:t>im</w:t>
      </w:r>
      <w:r w:rsidR="0092508F" w:rsidRPr="0092508F">
        <w:rPr>
          <w:lang w:val="hr-HR"/>
        </w:rPr>
        <w:t xml:space="preserve"> učin</w:t>
      </w:r>
      <w:r w:rsidR="0092508F">
        <w:rPr>
          <w:lang w:val="hr-HR"/>
        </w:rPr>
        <w:t>cima</w:t>
      </w:r>
      <w:r w:rsidR="0092508F" w:rsidRPr="0092508F">
        <w:rPr>
          <w:lang w:val="hr-HR"/>
        </w:rPr>
        <w:t xml:space="preserve"> </w:t>
      </w:r>
      <w:r w:rsidR="008C7386">
        <w:rPr>
          <w:rFonts w:ascii="Calibri" w:hAnsi="Calibri" w:cs="Calibri"/>
          <w:color w:val="000000"/>
          <w:shd w:val="clear" w:color="auto" w:fill="FFFFFF"/>
          <w:lang w:val="hr-HR"/>
        </w:rPr>
        <w:t xml:space="preserve">mjera koje je Vlada donijela u svrhu zaštite kućanstava i gospodarstva od rasta cijena, </w:t>
      </w:r>
      <w:r w:rsidR="008C7386" w:rsidRPr="00FB5931">
        <w:rPr>
          <w:rFonts w:ascii="Calibri" w:hAnsi="Calibri" w:cs="Calibri"/>
          <w:color w:val="000000"/>
          <w:shd w:val="clear" w:color="auto" w:fill="FFFFFF"/>
          <w:lang w:val="hr-HR"/>
        </w:rPr>
        <w:t>kao i</w:t>
      </w:r>
      <w:r w:rsidR="008C7386">
        <w:rPr>
          <w:rFonts w:ascii="Calibri" w:hAnsi="Calibri" w:cs="Calibri"/>
          <w:color w:val="000000"/>
          <w:shd w:val="clear" w:color="auto" w:fill="FFFFFF"/>
          <w:lang w:val="hr-HR"/>
        </w:rPr>
        <w:t xml:space="preserve"> učinkom porezne reforme koja je stupila na snagu 1. siječnja 2025. </w:t>
      </w:r>
      <w:r w:rsidR="008C7386" w:rsidRPr="00B92193">
        <w:rPr>
          <w:rFonts w:ascii="Calibri" w:hAnsi="Calibri" w:cs="Calibri"/>
          <w:color w:val="000000"/>
          <w:shd w:val="clear" w:color="auto" w:fill="FFFFFF"/>
          <w:lang w:val="hr-HR"/>
        </w:rPr>
        <w:t>Značajan učinak na prihode proračuna imaju i sredstva pomoći</w:t>
      </w:r>
      <w:r w:rsidR="008C7386">
        <w:rPr>
          <w:rFonts w:ascii="Calibri" w:hAnsi="Calibri" w:cs="Calibri"/>
          <w:color w:val="000000"/>
          <w:shd w:val="clear" w:color="auto" w:fill="FFFFFF"/>
          <w:lang w:val="hr-HR"/>
        </w:rPr>
        <w:t xml:space="preserve"> institucija i tijela EU, št</w:t>
      </w:r>
      <w:r w:rsidR="008C7386" w:rsidRPr="00607FE4">
        <w:rPr>
          <w:rFonts w:ascii="Calibri" w:hAnsi="Calibri" w:cs="Calibri"/>
          <w:color w:val="000000"/>
          <w:shd w:val="clear" w:color="auto" w:fill="FFFFFF"/>
          <w:lang w:val="hr-HR"/>
        </w:rPr>
        <w:t xml:space="preserve">o se ponajprije odnosi na sredstva iz novog Višegodišnjeg financijskog okvira 2021. – 2027. te iz Mehanizma za oporavak i </w:t>
      </w:r>
      <w:r w:rsidR="008C7386" w:rsidRPr="004964F3">
        <w:rPr>
          <w:rFonts w:ascii="Calibri" w:hAnsi="Calibri" w:cs="Calibri"/>
          <w:color w:val="000000"/>
          <w:shd w:val="clear" w:color="auto" w:fill="FFFFFF"/>
          <w:lang w:val="hr-HR"/>
        </w:rPr>
        <w:t>otpornost, kojima se jača oporavak i otpornost gospodarstva.</w:t>
      </w:r>
      <w:r w:rsidR="008C7386" w:rsidRPr="008C7386">
        <w:t xml:space="preserve"> </w:t>
      </w:r>
      <w:r w:rsidR="008C7386" w:rsidRPr="008C7386">
        <w:rPr>
          <w:rFonts w:ascii="Calibri" w:hAnsi="Calibri" w:cs="Calibri"/>
          <w:color w:val="000000"/>
          <w:shd w:val="clear" w:color="auto" w:fill="FFFFFF"/>
          <w:lang w:val="hr-HR"/>
        </w:rPr>
        <w:t>U isto vrijeme, dinamika kretanja rashoda obilježena je osiguravanjem adekvatnog standarda građana H</w:t>
      </w:r>
      <w:r w:rsidR="00943636">
        <w:rPr>
          <w:rFonts w:ascii="Calibri" w:hAnsi="Calibri" w:cs="Calibri"/>
          <w:color w:val="000000"/>
          <w:shd w:val="clear" w:color="auto" w:fill="FFFFFF"/>
          <w:lang w:val="hr-HR"/>
        </w:rPr>
        <w:t>rvatske</w:t>
      </w:r>
      <w:r w:rsidR="008C7386" w:rsidRPr="008C7386">
        <w:rPr>
          <w:rFonts w:ascii="Calibri" w:hAnsi="Calibri" w:cs="Calibri"/>
          <w:color w:val="000000"/>
          <w:shd w:val="clear" w:color="auto" w:fill="FFFFFF"/>
          <w:lang w:val="hr-HR"/>
        </w:rPr>
        <w:t>, posebice ranjivih skupina. Tako su osigurana dodatna sredstva za mirovine, plaće, inkluzivni dodatak te dodatne rodiljne naknade. Postupno se otpuštaju mjere za zaštitu građana i gospodarstva od cjenovnih pritisaka, prvenstveno zbog stabilizacije cijena energenata. No, nastavlja se i s potporama ugroženim kupcima energenata, pružateljima socijalnih usluga kao i studentskim cijenama obroka te nezaposlenim braniteljima. Ojačavaju se i prometna infrastruktura te ulaganja u obrambenu sigurnost.</w:t>
      </w:r>
    </w:p>
    <w:p w14:paraId="0D0E75F8" w14:textId="13D8F1BE" w:rsidR="009D478D" w:rsidRPr="009D478D" w:rsidRDefault="009D478D" w:rsidP="009D478D">
      <w:pPr>
        <w:jc w:val="both"/>
        <w:rPr>
          <w:lang w:val="hr-HR"/>
        </w:rPr>
      </w:pPr>
      <w:r w:rsidRPr="009D478D">
        <w:rPr>
          <w:lang w:val="hr-HR"/>
        </w:rPr>
        <w:t xml:space="preserve">Nadalje, promotrivši dosadašnje rezultate, </w:t>
      </w:r>
      <w:r w:rsidR="00943636">
        <w:rPr>
          <w:lang w:val="hr-HR"/>
        </w:rPr>
        <w:t xml:space="preserve">Hrvatska </w:t>
      </w:r>
      <w:r w:rsidRPr="009D478D">
        <w:rPr>
          <w:lang w:val="hr-HR"/>
        </w:rPr>
        <w:t xml:space="preserve">je jedna od zemalja s najučinkovitijom provedbom Nacionalnog plana oporavka i otpornosti 2021. – 2026. (NPOO). </w:t>
      </w:r>
      <w:r w:rsidR="00943636">
        <w:rPr>
          <w:lang w:val="hr-HR"/>
        </w:rPr>
        <w:t>Hrvatska</w:t>
      </w:r>
      <w:r w:rsidR="00943636" w:rsidRPr="009D478D">
        <w:rPr>
          <w:lang w:val="hr-HR"/>
        </w:rPr>
        <w:t xml:space="preserve"> </w:t>
      </w:r>
      <w:r w:rsidRPr="009D478D">
        <w:rPr>
          <w:lang w:val="hr-HR"/>
        </w:rPr>
        <w:t>je trenutno jedina država kojoj je do sada potvrđeno kako su u potpunosti ispunjeni svi reformski i investicijski pokazatelji za svaki od 6 odobrenih zahtjeva za plaćanje. Šesta tranša uplaćena je 29. rujna 2025. u iznosu od 835,6 milijuna eura, što je do sada najveći pojedinačni iznos koji je</w:t>
      </w:r>
      <w:r w:rsidR="00943636">
        <w:rPr>
          <w:lang w:val="hr-HR"/>
        </w:rPr>
        <w:t xml:space="preserve"> Hrvatskoj</w:t>
      </w:r>
      <w:r w:rsidRPr="009D478D">
        <w:rPr>
          <w:lang w:val="hr-HR"/>
        </w:rPr>
        <w:t xml:space="preserve"> uplaćen iz Europskog proračuna (od ulaska u EU). Krajem srpnja podnesen je i sedmi zahtjev za plaćanje u iznosu od 1,1 milijarde eura temeljem ispunjenih predefiniranih obveza te se uplata ove</w:t>
      </w:r>
      <w:r w:rsidR="008C7386">
        <w:rPr>
          <w:lang w:val="hr-HR"/>
        </w:rPr>
        <w:t xml:space="preserve"> tranše očekuje do kraja godine, </w:t>
      </w:r>
      <w:r w:rsidR="008C7386" w:rsidRPr="008C7386">
        <w:rPr>
          <w:lang w:val="hr-HR"/>
        </w:rPr>
        <w:t>čime će ukupna apsorpcija bespovratnih sredstava dosegnuti razinu od 82%.</w:t>
      </w:r>
      <w:r w:rsidR="008C7386" w:rsidRPr="008C7386">
        <w:t xml:space="preserve"> </w:t>
      </w:r>
      <w:r w:rsidR="008C7386" w:rsidRPr="008C7386">
        <w:rPr>
          <w:lang w:val="hr-HR"/>
        </w:rPr>
        <w:t xml:space="preserve">Vezano uz Višegodišnji financijski okvir 2021. – 2027. provedba u </w:t>
      </w:r>
      <w:r w:rsidR="00943636">
        <w:rPr>
          <w:lang w:val="hr-HR"/>
        </w:rPr>
        <w:t xml:space="preserve">Hrvatskoj </w:t>
      </w:r>
      <w:r w:rsidR="008C7386" w:rsidRPr="008C7386">
        <w:rPr>
          <w:lang w:val="hr-HR"/>
        </w:rPr>
        <w:t xml:space="preserve">slijedi redovitu dinamiku, pri čemu je trenutačno u ugovaranju ili ugovoreno </w:t>
      </w:r>
      <w:r w:rsidR="008B5CAF" w:rsidRPr="008C7386">
        <w:rPr>
          <w:lang w:val="hr-HR"/>
        </w:rPr>
        <w:t>6</w:t>
      </w:r>
      <w:r w:rsidR="008B5CAF">
        <w:rPr>
          <w:lang w:val="hr-HR"/>
        </w:rPr>
        <w:t>3</w:t>
      </w:r>
      <w:r w:rsidR="008C7386" w:rsidRPr="008C7386">
        <w:rPr>
          <w:lang w:val="hr-HR"/>
        </w:rPr>
        <w:t>,6% raspoloživih sredstava</w:t>
      </w:r>
      <w:r w:rsidR="008B5CAF">
        <w:rPr>
          <w:lang w:val="hr-HR"/>
        </w:rPr>
        <w:t>.</w:t>
      </w:r>
      <w:r w:rsidR="008C7386" w:rsidRPr="008C7386">
        <w:rPr>
          <w:lang w:val="hr-HR"/>
        </w:rPr>
        <w:t xml:space="preserve"> Tijekom ove godine EK je predložila izmjene kohezijske politike s preusmjeravanjem neiskorištenih sredstava u nove strateške ciljeve EU. </w:t>
      </w:r>
      <w:r w:rsidR="00943636">
        <w:rPr>
          <w:lang w:val="hr-HR"/>
        </w:rPr>
        <w:t>Hrvatska</w:t>
      </w:r>
      <w:r w:rsidR="008C7386" w:rsidRPr="008C7386">
        <w:rPr>
          <w:lang w:val="hr-HR"/>
        </w:rPr>
        <w:t xml:space="preserve"> je stoga odlučila usmjeriti dodatna sredstva u obranu i sigurnost, priuštivo stanovanje i vodnu otpornost. Odobrenje spomenutih izmjena očekuje se do kraja godine.</w:t>
      </w:r>
    </w:p>
    <w:p w14:paraId="7ED075F2" w14:textId="24FEA83E" w:rsidR="008C7386" w:rsidRDefault="008C7386" w:rsidP="009D478D">
      <w:pPr>
        <w:jc w:val="both"/>
        <w:rPr>
          <w:lang w:val="hr-HR"/>
        </w:rPr>
      </w:pPr>
      <w:r w:rsidRPr="008C7386">
        <w:rPr>
          <w:lang w:val="hr-HR"/>
        </w:rPr>
        <w:t xml:space="preserve">U posljednje dvije i pol godine ostvareno je 16 izdanja vrijednosnih papira države koje su mogli kupiti građani, od toga 13 trezorskih zapisa. Mali ulagatelji sudjelovali su u spomenutim izdanjima s kumulativno više od 11 milijardi eura te građani trenutno drže oko 8,5% javnog duga </w:t>
      </w:r>
      <w:r w:rsidR="00260AE8">
        <w:rPr>
          <w:lang w:val="hr-HR"/>
        </w:rPr>
        <w:t>Hrvatske</w:t>
      </w:r>
      <w:r>
        <w:rPr>
          <w:lang w:val="hr-HR"/>
        </w:rPr>
        <w:t xml:space="preserve">, a usmjereno im je više od 300 milijuna eura kamata. </w:t>
      </w:r>
      <w:r w:rsidRPr="008C7386">
        <w:rPr>
          <w:lang w:val="hr-HR"/>
        </w:rPr>
        <w:t xml:space="preserve">Ovakvim rezultatima snažno je doprinijela i uspostava ulagačkih plaftormi e-riznica i m-riznica. </w:t>
      </w:r>
      <w:r w:rsidR="009D478D" w:rsidRPr="008C7386">
        <w:rPr>
          <w:lang w:val="hr-HR"/>
        </w:rPr>
        <w:t xml:space="preserve">Nova izdanja </w:t>
      </w:r>
      <w:r w:rsidRPr="008C7386">
        <w:rPr>
          <w:lang w:val="hr-HR"/>
        </w:rPr>
        <w:t>vrijednosnih papira</w:t>
      </w:r>
      <w:r w:rsidR="009D478D" w:rsidRPr="008C7386">
        <w:rPr>
          <w:lang w:val="hr-HR"/>
        </w:rPr>
        <w:t xml:space="preserve"> realizirana su primarno za refinanciranje dospijeća postojećih obveznica, a slična praksa se očekuje i dalje. </w:t>
      </w:r>
    </w:p>
    <w:p w14:paraId="1E49B05D" w14:textId="43806119" w:rsidR="009D478D" w:rsidRPr="009D478D" w:rsidRDefault="009D478D" w:rsidP="009D478D">
      <w:pPr>
        <w:jc w:val="both"/>
        <w:rPr>
          <w:lang w:val="hr-HR"/>
        </w:rPr>
      </w:pPr>
      <w:r w:rsidRPr="009D478D">
        <w:rPr>
          <w:lang w:val="hr-HR"/>
        </w:rPr>
        <w:t xml:space="preserve">Sva navedena postignuća pridonijela su zadržavanju kreditnog rejtinga </w:t>
      </w:r>
      <w:r w:rsidR="00260AE8">
        <w:rPr>
          <w:lang w:val="hr-HR"/>
        </w:rPr>
        <w:t>Hrvatske</w:t>
      </w:r>
      <w:r w:rsidRPr="009D478D">
        <w:rPr>
          <w:lang w:val="hr-HR"/>
        </w:rPr>
        <w:t xml:space="preserve"> na povijesno najvišoj razini. Tako je u rujnu agencija Standard and Poor's potvrdila dugoročni kreditni rejting na A-, s </w:t>
      </w:r>
      <w:r w:rsidRPr="009D478D">
        <w:rPr>
          <w:lang w:val="hr-HR"/>
        </w:rPr>
        <w:lastRenderedPageBreak/>
        <w:t xml:space="preserve">pozitivnim izgledima, kao i agencija Fitch na A-, sa stabilnim </w:t>
      </w:r>
      <w:r w:rsidRPr="001C41A4">
        <w:rPr>
          <w:lang w:val="hr-HR"/>
        </w:rPr>
        <w:t xml:space="preserve">izgledima. U studenom je i agencija Moody's </w:t>
      </w:r>
      <w:r w:rsidR="001C41A4" w:rsidRPr="001C41A4">
        <w:rPr>
          <w:lang w:val="hr-HR"/>
        </w:rPr>
        <w:t xml:space="preserve">potvrdila </w:t>
      </w:r>
      <w:r w:rsidRPr="001C41A4">
        <w:rPr>
          <w:lang w:val="hr-HR"/>
        </w:rPr>
        <w:t>dugoročni kreditni rejting na A3, sa stabilnim izgledima.</w:t>
      </w:r>
      <w:r w:rsidRPr="009D478D">
        <w:rPr>
          <w:lang w:val="hr-HR"/>
        </w:rPr>
        <w:t xml:space="preserve">  </w:t>
      </w:r>
    </w:p>
    <w:p w14:paraId="0BFFA58C" w14:textId="77777777" w:rsidR="009D478D" w:rsidRPr="009D478D" w:rsidRDefault="009D478D" w:rsidP="009D478D">
      <w:pPr>
        <w:jc w:val="both"/>
        <w:rPr>
          <w:lang w:val="hr-HR"/>
        </w:rPr>
      </w:pPr>
      <w:r w:rsidRPr="009D478D">
        <w:rPr>
          <w:lang w:val="hr-HR"/>
        </w:rPr>
        <w:t>Nadolazeće razdoblje karakterizira očekivani nastavak pozitivnih gospodarskih kretanja uz sporiju dinamiku u odnosu na prošlo razdoblje, ali i povišen stupanj rizika</w:t>
      </w:r>
      <w:r w:rsidR="004E101A">
        <w:rPr>
          <w:lang w:val="hr-HR"/>
        </w:rPr>
        <w:t xml:space="preserve"> koji se odnosi na</w:t>
      </w:r>
      <w:r w:rsidRPr="009D478D">
        <w:rPr>
          <w:lang w:val="hr-HR"/>
        </w:rPr>
        <w:t xml:space="preserve"> globalne geopolitičke odnose vezane uz trgovinsku razmjenu i obranu. Ovdje valja spomenuti i nadalje prigušena ekonomska kretanja u europodručju, nastavak slabljenja inflacijskih pritisaka</w:t>
      </w:r>
      <w:r w:rsidR="004E101A">
        <w:rPr>
          <w:lang w:val="hr-HR"/>
        </w:rPr>
        <w:t>,</w:t>
      </w:r>
      <w:r w:rsidRPr="009D478D">
        <w:rPr>
          <w:lang w:val="hr-HR"/>
        </w:rPr>
        <w:t xml:space="preserve"> kao i snižavanj</w:t>
      </w:r>
      <w:r w:rsidR="004E101A">
        <w:rPr>
          <w:lang w:val="hr-HR"/>
        </w:rPr>
        <w:t>e</w:t>
      </w:r>
      <w:r w:rsidRPr="009D478D">
        <w:rPr>
          <w:lang w:val="hr-HR"/>
        </w:rPr>
        <w:t xml:space="preserve"> kamatnih stopa, što sve predstavlja izazove za ekonomsku politiku u cjelini.</w:t>
      </w:r>
    </w:p>
    <w:p w14:paraId="697EA374" w14:textId="584B31B5" w:rsidR="004E101A" w:rsidRPr="004E101A" w:rsidRDefault="009D478D" w:rsidP="009D478D">
      <w:pPr>
        <w:jc w:val="both"/>
        <w:rPr>
          <w:lang w:val="hr-HR"/>
        </w:rPr>
      </w:pPr>
      <w:r w:rsidRPr="004E101A">
        <w:rPr>
          <w:lang w:val="hr-HR"/>
        </w:rPr>
        <w:t>U tom smislu, planirani odgovor fiskalne politike usmjerit će se na</w:t>
      </w:r>
      <w:r w:rsidR="004E101A" w:rsidRPr="004E101A">
        <w:t xml:space="preserve"> </w:t>
      </w:r>
      <w:r w:rsidR="004E101A" w:rsidRPr="004E101A">
        <w:rPr>
          <w:lang w:val="hr-HR"/>
        </w:rPr>
        <w:t>poboljšanje kvalitete života građana,</w:t>
      </w:r>
      <w:r w:rsidRPr="004E101A">
        <w:rPr>
          <w:lang w:val="hr-HR"/>
        </w:rPr>
        <w:t xml:space="preserve"> proračunsku odgovornost, uz istovremenu provedbu reformi i investicija u svrhu jačanja otpornosti te uključivog rasta hrvatskog gospodarstva. Tako će 2026. godinu obilježiti </w:t>
      </w:r>
      <w:r w:rsidR="004E101A" w:rsidRPr="004E101A">
        <w:rPr>
          <w:lang w:val="hr-HR"/>
        </w:rPr>
        <w:t>kretanje prihoda u skladu s p</w:t>
      </w:r>
      <w:r w:rsidR="004E101A">
        <w:rPr>
          <w:lang w:val="hr-HR"/>
        </w:rPr>
        <w:t xml:space="preserve">rojiciranim gospodarskim rastom te prihodima iz </w:t>
      </w:r>
      <w:r w:rsidR="004E101A" w:rsidRPr="004E101A">
        <w:rPr>
          <w:lang w:val="hr-HR"/>
        </w:rPr>
        <w:t>fondova EU</w:t>
      </w:r>
      <w:r w:rsidR="008B5CAF">
        <w:rPr>
          <w:lang w:val="hr-HR"/>
        </w:rPr>
        <w:t>.</w:t>
      </w:r>
      <w:r w:rsidR="004E101A" w:rsidRPr="004E101A">
        <w:rPr>
          <w:lang w:val="hr-HR"/>
        </w:rPr>
        <w:t xml:space="preserve"> </w:t>
      </w:r>
      <w:r w:rsidR="008B5CAF" w:rsidRPr="008B5CAF">
        <w:rPr>
          <w:lang w:val="hr-HR"/>
        </w:rPr>
        <w:t xml:space="preserve">Rashodna strana proračuna odražava politike Vlade usmjerene na povećanje životnog standarda građana, poboljšanje kvalitete života i stanovanja, poticanje demografske obnove, očuvanje socijalne sigurnosti te daljnja ulaganja u generatore održivog razvoja kroz ulaganja u gospodarstvo, energetsku i prometnu infrastrukturu te zelenu tranziciju. </w:t>
      </w:r>
      <w:r w:rsidR="004E101A" w:rsidRPr="008B5CAF">
        <w:rPr>
          <w:lang w:val="hr-HR"/>
        </w:rPr>
        <w:t xml:space="preserve"> </w:t>
      </w:r>
      <w:r w:rsidR="004E101A" w:rsidRPr="004E101A">
        <w:rPr>
          <w:lang w:val="hr-HR"/>
        </w:rPr>
        <w:t xml:space="preserve">Vezano uz investicijsku dinamiku, ona će u znatnoj mjeri biti poduprta europskim sredstvima iz Mehanizma za oporavak i otpornost te Višegodišnjeg financijskog okvira 2021.-2027., ulaganjima u obrazovnu, zdravstvenu, prometnu i komunalnu infrastrukturu kao i u energetiku te digitalizaciju. U tijeku su i intenzivne konzultacije EK i predstavnika </w:t>
      </w:r>
      <w:r w:rsidR="00260AE8">
        <w:rPr>
          <w:lang w:val="hr-HR"/>
        </w:rPr>
        <w:t xml:space="preserve">Hrvatske </w:t>
      </w:r>
      <w:r w:rsidR="004E101A" w:rsidRPr="004E101A">
        <w:rPr>
          <w:lang w:val="hr-HR"/>
        </w:rPr>
        <w:t>vezano uz ulaganja o obrambenu sigurnost u okviru SAFE kreditnog mehanizma. Ovdje valja spomenuti i kako će se planske aktivnosti Vlade usmjeriti na realokaciju dijela sredstava iz nacionalnih prema EU bespovratnim sredstvima te pripremu projekata vezano uz revidirane ciljeve kohezijske politike, uključujući strateške tehnologije, obranu i sigurnost, vodnu otpornost te priuštivo stanovanje.</w:t>
      </w:r>
    </w:p>
    <w:p w14:paraId="3A5190CD" w14:textId="77777777" w:rsidR="009D478D" w:rsidRPr="009D478D" w:rsidRDefault="009D478D" w:rsidP="009D478D">
      <w:pPr>
        <w:jc w:val="both"/>
        <w:rPr>
          <w:lang w:val="hr-HR"/>
        </w:rPr>
      </w:pPr>
      <w:r w:rsidRPr="009D478D">
        <w:rPr>
          <w:lang w:val="hr-HR"/>
        </w:rPr>
        <w:t xml:space="preserve">U cjelini uzevši, nakon ostvarenog manjka proračuna opće države od 1,9% BDP-a u 2024., fiskalna kretanja u 2025. rezultirat će proračunskim manjkom od 2,9% BDP-a, koji je i u 2026. prognoziran na istoj razini. </w:t>
      </w:r>
      <w:r w:rsidR="00EA1F11">
        <w:rPr>
          <w:lang w:val="hr-HR"/>
        </w:rPr>
        <w:t xml:space="preserve">U 2027. i 2028. godini isti će iznositi 2,8% BDP-a. </w:t>
      </w:r>
      <w:r w:rsidRPr="009D478D">
        <w:rPr>
          <w:lang w:val="hr-HR"/>
        </w:rPr>
        <w:t xml:space="preserve">Nadalje, udio javnog duga u nominalnoj vrijednosti bruto domaćeg proizvoda smanjit će se sa </w:t>
      </w:r>
      <w:r w:rsidR="00EA1F11">
        <w:rPr>
          <w:lang w:val="hr-HR"/>
        </w:rPr>
        <w:t>57,4</w:t>
      </w:r>
      <w:r w:rsidRPr="009D478D">
        <w:rPr>
          <w:lang w:val="hr-HR"/>
        </w:rPr>
        <w:t>% u 2024. na 56,3% u 2025., dok će u 2026. godini iznositi 56%.</w:t>
      </w:r>
      <w:r w:rsidR="00EA1F11">
        <w:rPr>
          <w:lang w:val="hr-HR"/>
        </w:rPr>
        <w:t xml:space="preserve"> U naredne dvije godine</w:t>
      </w:r>
      <w:r w:rsidR="00EA1F11" w:rsidRPr="00EA1F11">
        <w:t xml:space="preserve"> </w:t>
      </w:r>
      <w:r w:rsidR="00EA1F11">
        <w:rPr>
          <w:lang w:val="hr-HR"/>
        </w:rPr>
        <w:t xml:space="preserve">javni dug </w:t>
      </w:r>
      <w:r w:rsidR="00EA1F11" w:rsidRPr="00EA1F11">
        <w:rPr>
          <w:lang w:val="hr-HR"/>
        </w:rPr>
        <w:t>bilježit</w:t>
      </w:r>
      <w:r w:rsidR="00EA1F11">
        <w:rPr>
          <w:lang w:val="hr-HR"/>
        </w:rPr>
        <w:t xml:space="preserve"> će </w:t>
      </w:r>
      <w:r w:rsidR="00EA1F11" w:rsidRPr="00EA1F11">
        <w:rPr>
          <w:lang w:val="hr-HR"/>
        </w:rPr>
        <w:t>blago smanjenje na prosječnu razinu od 55,8%.</w:t>
      </w:r>
    </w:p>
    <w:p w14:paraId="662CE562" w14:textId="77777777" w:rsidR="00E167A9" w:rsidRPr="00583572" w:rsidRDefault="00E167A9" w:rsidP="00003BE9">
      <w:pPr>
        <w:rPr>
          <w:highlight w:val="yellow"/>
          <w:lang w:val="hr-HR"/>
        </w:rPr>
      </w:pPr>
      <w:r w:rsidRPr="00583572">
        <w:rPr>
          <w:highlight w:val="yellow"/>
          <w:lang w:val="hr-HR"/>
        </w:rPr>
        <w:br w:type="page"/>
      </w:r>
    </w:p>
    <w:p w14:paraId="6368C36E" w14:textId="77777777" w:rsidR="00695821" w:rsidRPr="0089013D" w:rsidRDefault="00695821" w:rsidP="00695821">
      <w:pPr>
        <w:pStyle w:val="Heading1"/>
        <w:numPr>
          <w:ilvl w:val="0"/>
          <w:numId w:val="2"/>
        </w:numPr>
        <w:rPr>
          <w:lang w:val="hr-HR"/>
        </w:rPr>
      </w:pPr>
      <w:bookmarkStart w:id="2" w:name="_Toc213857300"/>
      <w:r w:rsidRPr="0089013D">
        <w:rPr>
          <w:lang w:val="hr-HR"/>
        </w:rPr>
        <w:lastRenderedPageBreak/>
        <w:t>MAKROEKONOMSKI OKVIR</w:t>
      </w:r>
      <w:bookmarkEnd w:id="2"/>
    </w:p>
    <w:p w14:paraId="451E4334" w14:textId="77777777" w:rsidR="00F048AB" w:rsidRDefault="00F048AB" w:rsidP="00695821">
      <w:pPr>
        <w:rPr>
          <w:highlight w:val="yellow"/>
          <w:lang w:val="hr-HR"/>
        </w:rPr>
      </w:pPr>
    </w:p>
    <w:p w14:paraId="3504FF7A" w14:textId="77777777" w:rsidR="007879EE" w:rsidRPr="007879EE" w:rsidRDefault="007879EE" w:rsidP="007879EE">
      <w:pPr>
        <w:spacing w:before="240" w:after="120"/>
        <w:jc w:val="both"/>
        <w:rPr>
          <w:rFonts w:cstheme="minorHAnsi"/>
          <w:lang w:val="hr-HR" w:bidi="hr-HR"/>
        </w:rPr>
      </w:pPr>
      <w:bookmarkStart w:id="3" w:name="_Toc520963978"/>
      <w:r w:rsidRPr="007879EE">
        <w:rPr>
          <w:rFonts w:cstheme="minorHAnsi"/>
          <w:lang w:val="hr-HR" w:bidi="hr-HR"/>
        </w:rPr>
        <w:t>Makroekonomski okvir opisan u ovom poglavlju sastavljen je u listopadu ove godine. Vanjske pretpostavke za izradu makroekonomskih projekcija preuzete su iz najnovijih projekcija Europske središnje banke</w:t>
      </w:r>
      <w:r w:rsidRPr="007879EE">
        <w:rPr>
          <w:rFonts w:cstheme="minorHAnsi"/>
          <w:vertAlign w:val="superscript"/>
          <w:lang w:val="hr-HR" w:bidi="hr-HR"/>
        </w:rPr>
        <w:footnoteReference w:id="1"/>
      </w:r>
      <w:r w:rsidRPr="007879EE">
        <w:rPr>
          <w:rFonts w:cstheme="minorHAnsi"/>
          <w:lang w:val="hr-HR" w:bidi="hr-HR"/>
        </w:rPr>
        <w:t xml:space="preserve"> (u nastavku teksta: ESB), Međunarodnog monetarnog fonda</w:t>
      </w:r>
      <w:r w:rsidRPr="007879EE">
        <w:rPr>
          <w:rFonts w:cstheme="minorHAnsi"/>
          <w:vertAlign w:val="superscript"/>
          <w:lang w:val="hr-HR" w:bidi="hr-HR"/>
        </w:rPr>
        <w:footnoteReference w:id="2"/>
      </w:r>
      <w:r w:rsidRPr="007879EE">
        <w:rPr>
          <w:rFonts w:cstheme="minorHAnsi"/>
          <w:lang w:val="hr-HR" w:bidi="hr-HR"/>
        </w:rPr>
        <w:t xml:space="preserve"> i Consensus Economics- a</w:t>
      </w:r>
      <w:r w:rsidRPr="007879EE">
        <w:rPr>
          <w:rFonts w:cstheme="minorHAnsi"/>
          <w:vertAlign w:val="superscript"/>
          <w:lang w:val="hr-HR" w:bidi="hr-HR"/>
        </w:rPr>
        <w:footnoteReference w:id="3"/>
      </w:r>
      <w:r w:rsidRPr="007879EE">
        <w:rPr>
          <w:rFonts w:cstheme="minorHAnsi"/>
          <w:lang w:val="hr-HR" w:bidi="hr-HR"/>
        </w:rPr>
        <w:t>.</w:t>
      </w:r>
    </w:p>
    <w:p w14:paraId="1BC9C024" w14:textId="77777777" w:rsidR="007879EE" w:rsidRPr="007879EE" w:rsidRDefault="007879EE" w:rsidP="007879EE">
      <w:pPr>
        <w:spacing w:before="240" w:after="120"/>
        <w:jc w:val="both"/>
        <w:rPr>
          <w:rFonts w:cstheme="minorHAnsi"/>
          <w:lang w:val="hr-HR" w:bidi="hr-HR"/>
        </w:rPr>
      </w:pPr>
      <w:r w:rsidRPr="007879EE">
        <w:rPr>
          <w:rFonts w:cstheme="minorHAnsi"/>
          <w:lang w:val="hr-HR" w:bidi="hr-HR"/>
        </w:rPr>
        <w:t>ESB je korigirao projekcije svjetskog gospodarskog rasta blago na više u 2025. te narednim godinama, dok su projekcije inflacije gotovo nepromijenjene u usporedbi s prethodnim projekcijama iz lipnja. Nakon rasta svjetske gospodarske aktivnosti od 3,6% u 2024., prema posljednjim projekcijama ESB-a očekuje se usporavanje svjetskog gospodarskog rasta na 3,3% u 2025. i 3,1% u 2026. godini (revizija od +0,2 postotna boda za obje godine u odnosu na projekciju iz lipnja). Nakon rasta svjetske trgovine u 2024. godini od 4,2%, očekuje se njezino usporavanje na 2,8% u 2025. te 1,5% u 2026. uslijed nepovoljnijih ekonomskih okolnosti, posebno vezanih uz neizvjesnost oko uvjeta razmjene u međunarodnoj trgovini. Razdoblje povišene neizvjesnosti oko ostvarenja navedenih projekcija se nastavlja te blago prevladavaju negativni rizici.</w:t>
      </w:r>
    </w:p>
    <w:p w14:paraId="25DCF03C" w14:textId="77777777" w:rsidR="007879EE" w:rsidRPr="00D969EE" w:rsidRDefault="007879EE" w:rsidP="007879EE">
      <w:pPr>
        <w:spacing w:before="240" w:after="120"/>
        <w:jc w:val="both"/>
        <w:rPr>
          <w:rFonts w:cstheme="minorHAnsi"/>
          <w:lang w:val="hr-HR" w:bidi="hr-HR"/>
        </w:rPr>
      </w:pPr>
      <w:r w:rsidRPr="007879EE">
        <w:rPr>
          <w:rFonts w:cstheme="minorHAnsi"/>
          <w:lang w:val="hr-HR" w:bidi="hr-HR"/>
        </w:rPr>
        <w:t xml:space="preserve">U 2025. prognozira se cijena nafte tipa Brent na razini od 69,7 dolara po barelu, dok se u 2026. godini očekuje pad cijena na razinu od 65,1 dolar po barelu, što predstavlja smanjenje od 6,6%. Iako stope inflacije diljem svijeta usporavaju uslijed smanjenja cijena energije i hrane, temeljna inflacija koja isključuje navedene komponente još uvijek se nalazi na povišenim razinama. Prema projekcijama </w:t>
      </w:r>
      <w:r w:rsidRPr="00D969EE">
        <w:rPr>
          <w:rFonts w:cstheme="minorHAnsi"/>
          <w:lang w:val="hr-HR" w:bidi="hr-HR"/>
        </w:rPr>
        <w:t>Consensus Economics-a očekuje se daljnje usporavanje inflacije u europodručju na razinu od 1,8% u 2026. godini. Zamjetan je trend usporavanja snižavanja referentnih kamatnih stopa od strane središnjih banaka. Predviđa se da će prosječni tečaj eura prema američkom dolaru iznositi 1,2 USD/EUR tijekom projekcijskog razdoblja.</w:t>
      </w:r>
    </w:p>
    <w:p w14:paraId="27F8E865" w14:textId="19CA29A1" w:rsidR="000E22F7" w:rsidRPr="00CE274D" w:rsidRDefault="000E22F7" w:rsidP="000E22F7">
      <w:pPr>
        <w:spacing w:before="240" w:after="120"/>
        <w:jc w:val="both"/>
        <w:rPr>
          <w:rFonts w:ascii="Calibri" w:hAnsi="Calibri"/>
          <w:bCs/>
          <w:i/>
          <w:sz w:val="20"/>
          <w:szCs w:val="20"/>
          <w:lang w:val="hr-HR"/>
        </w:rPr>
      </w:pPr>
      <w:r w:rsidRPr="00D969EE">
        <w:rPr>
          <w:rFonts w:cstheme="minorHAnsi"/>
          <w:i/>
          <w:lang w:val="hr-HR"/>
        </w:rPr>
        <w:t xml:space="preserve">Tablica </w:t>
      </w:r>
      <w:r w:rsidRPr="00D969EE">
        <w:rPr>
          <w:rFonts w:cstheme="minorHAnsi"/>
          <w:i/>
          <w:lang w:val="hr-HR"/>
        </w:rPr>
        <w:fldChar w:fldCharType="begin"/>
      </w:r>
      <w:r w:rsidRPr="00D969EE">
        <w:rPr>
          <w:rFonts w:cstheme="minorHAnsi"/>
          <w:i/>
          <w:lang w:val="hr-HR"/>
        </w:rPr>
        <w:instrText xml:space="preserve"> SEQ Tablica \* ARABIC </w:instrText>
      </w:r>
      <w:r w:rsidRPr="00D969EE">
        <w:rPr>
          <w:rFonts w:cstheme="minorHAnsi"/>
          <w:i/>
          <w:lang w:val="hr-HR"/>
        </w:rPr>
        <w:fldChar w:fldCharType="separate"/>
      </w:r>
      <w:r w:rsidR="004953C0">
        <w:rPr>
          <w:rFonts w:cstheme="minorHAnsi"/>
          <w:i/>
          <w:noProof/>
          <w:lang w:val="hr-HR"/>
        </w:rPr>
        <w:t>1</w:t>
      </w:r>
      <w:r w:rsidRPr="00D969EE">
        <w:rPr>
          <w:rFonts w:cstheme="minorHAnsi"/>
          <w:i/>
          <w:lang w:val="hr-HR"/>
        </w:rPr>
        <w:fldChar w:fldCharType="end"/>
      </w:r>
      <w:r w:rsidRPr="00D969EE">
        <w:rPr>
          <w:rFonts w:cstheme="minorHAnsi"/>
          <w:i/>
          <w:lang w:val="hr-HR"/>
        </w:rPr>
        <w:t>: Osnovne pretpostavke</w:t>
      </w:r>
      <w:r w:rsidRPr="00D969EE">
        <w:rPr>
          <w:rFonts w:cstheme="minorHAnsi"/>
          <w:i/>
          <w:lang w:val="hr-HR"/>
        </w:rPr>
        <w:tab/>
      </w:r>
      <w:r w:rsidRPr="00D969EE">
        <w:rPr>
          <w:rFonts w:cstheme="minorHAnsi"/>
          <w:i/>
          <w:lang w:val="hr-HR"/>
        </w:rPr>
        <w:br/>
      </w:r>
      <w:r w:rsidR="00D969EE" w:rsidRPr="00D969EE">
        <w:rPr>
          <w:noProof/>
          <w:lang w:val="hr-HR" w:eastAsia="hr-HR"/>
        </w:rPr>
        <w:drawing>
          <wp:inline distT="0" distB="0" distL="0" distR="0" wp14:anchorId="5865CB81" wp14:editId="543CEB4E">
            <wp:extent cx="5760720" cy="1515538"/>
            <wp:effectExtent l="0" t="0" r="0" b="889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515538"/>
                    </a:xfrm>
                    <a:prstGeom prst="rect">
                      <a:avLst/>
                    </a:prstGeom>
                    <a:noFill/>
                    <a:ln>
                      <a:noFill/>
                    </a:ln>
                  </pic:spPr>
                </pic:pic>
              </a:graphicData>
            </a:graphic>
          </wp:inline>
        </w:drawing>
      </w:r>
      <w:r w:rsidRPr="00D969EE">
        <w:rPr>
          <w:rFonts w:cstheme="minorHAnsi"/>
          <w:lang w:val="hr-HR"/>
        </w:rPr>
        <w:br/>
      </w:r>
      <w:r w:rsidRPr="00D969EE">
        <w:rPr>
          <w:rFonts w:ascii="Calibri" w:hAnsi="Calibri"/>
          <w:bCs/>
          <w:i/>
          <w:sz w:val="20"/>
          <w:szCs w:val="20"/>
          <w:lang w:val="hr-HR"/>
        </w:rPr>
        <w:t xml:space="preserve">Izvor: Europska središnja banka, </w:t>
      </w:r>
      <w:r w:rsidR="00D969EE" w:rsidRPr="00D969EE">
        <w:rPr>
          <w:rFonts w:ascii="Calibri" w:hAnsi="Calibri"/>
          <w:bCs/>
          <w:i/>
          <w:sz w:val="20"/>
          <w:szCs w:val="20"/>
          <w:lang w:val="hr-HR"/>
        </w:rPr>
        <w:t xml:space="preserve">Međunarodni monetarni fond, </w:t>
      </w:r>
      <w:r w:rsidRPr="00D969EE">
        <w:rPr>
          <w:rFonts w:ascii="Calibri" w:hAnsi="Calibri"/>
          <w:bCs/>
          <w:i/>
          <w:sz w:val="20"/>
          <w:szCs w:val="20"/>
          <w:lang w:val="hr-HR"/>
        </w:rPr>
        <w:t>Ministarstvo financija</w:t>
      </w:r>
    </w:p>
    <w:bookmarkEnd w:id="3"/>
    <w:p w14:paraId="12F81FD2" w14:textId="7BA83259" w:rsidR="007879EE" w:rsidRPr="00FC2F09" w:rsidRDefault="007879EE" w:rsidP="007879EE">
      <w:pPr>
        <w:jc w:val="both"/>
        <w:rPr>
          <w:rFonts w:eastAsia="Times New Roman" w:cstheme="minorHAnsi"/>
          <w:color w:val="000000"/>
          <w:shd w:val="clear" w:color="auto" w:fill="FFFFFF"/>
          <w:lang w:val="hr-HR" w:eastAsia="hr-HR" w:bidi="hr-HR"/>
        </w:rPr>
      </w:pPr>
      <w:r w:rsidRPr="00FC2F09">
        <w:rPr>
          <w:rFonts w:eastAsia="Times New Roman" w:cstheme="minorHAnsi"/>
          <w:color w:val="000000"/>
          <w:shd w:val="clear" w:color="auto" w:fill="FFFFFF"/>
          <w:lang w:val="hr-HR" w:eastAsia="hr-HR" w:bidi="hr-HR"/>
        </w:rPr>
        <w:t xml:space="preserve">U 2025. godini </w:t>
      </w:r>
      <w:r w:rsidR="00260AE8">
        <w:rPr>
          <w:rFonts w:eastAsia="Times New Roman" w:cstheme="minorHAnsi"/>
          <w:color w:val="000000"/>
          <w:shd w:val="clear" w:color="auto" w:fill="FFFFFF"/>
          <w:lang w:val="hr-HR" w:eastAsia="hr-HR" w:bidi="hr-HR"/>
        </w:rPr>
        <w:t>Hrvatska</w:t>
      </w:r>
      <w:r w:rsidRPr="00FC2F09">
        <w:rPr>
          <w:rFonts w:eastAsia="Times New Roman" w:cstheme="minorHAnsi"/>
          <w:color w:val="000000"/>
          <w:shd w:val="clear" w:color="auto" w:fill="FFFFFF"/>
          <w:lang w:val="hr-HR" w:eastAsia="hr-HR" w:bidi="hr-HR"/>
        </w:rPr>
        <w:t xml:space="preserve"> nastavlja bilježiti stope gospodarskog rasta među najvišim u europodručju. Inflacijska dinamika ostala je izražena, pri čemu su potrošačke cijene u prosjeku nešto ubrzale svoj rast u odnosu na prethodnu godinu. Hrvatski BDP je u prvih šest mjeseci ove godine povećan po međugodišnjoj stopi od 3,4%. Najveći doprinos realnom rastu BDP-a stigao je od osobne potrošnje, koja je rasla po stopi od 2,9% i tako naglašeno usporila dinamiku iz 2024., te izvoza roba, uz </w:t>
      </w:r>
      <w:r w:rsidRPr="00FC2F09">
        <w:rPr>
          <w:rFonts w:eastAsia="Times New Roman" w:cstheme="minorHAnsi"/>
          <w:color w:val="000000"/>
          <w:shd w:val="clear" w:color="auto" w:fill="FFFFFF"/>
          <w:lang w:val="hr-HR" w:eastAsia="hr-HR" w:bidi="hr-HR"/>
        </w:rPr>
        <w:lastRenderedPageBreak/>
        <w:t>međugodišnji rast od 6,8%, u uvjetima nastavka oporavka inozemne potražnje za domaćim robama. Nešto niži pozitivan doprinos ekonomskom rastu u prvih šest mjeseci dale su i bruto investicije u fiksni kapital (sa stopom realnog rasta od 5,0%), a najmanji pozitivan doprinos došao je od državne potrošnje (rast od 4,2%). S druge strane, negativan doprinos kretanju BDP-a zabilježili su uvoz roba i usluga (uz realni rast od 4,3%), pri čemu je nastavljen iznimno dinamičan rast uvoza usluga iz prethodne tri godine, kao i izvoz usluga (uz pad od 1,9%), pod utjecajem realnog pada izvoza usluga izuzev putovanja i tek blagog realnog rasta kategorije putovanja u prvih šest mjeseci</w:t>
      </w:r>
      <w:r w:rsidRPr="00FC2F09">
        <w:rPr>
          <w:rFonts w:eastAsia="Times New Roman" w:cstheme="minorHAnsi"/>
          <w:color w:val="000000"/>
          <w:shd w:val="clear" w:color="auto" w:fill="FFFFFF"/>
          <w:vertAlign w:val="superscript"/>
          <w:lang w:val="hr-HR" w:eastAsia="hr-HR" w:bidi="hr-HR"/>
        </w:rPr>
        <w:footnoteReference w:id="4"/>
      </w:r>
      <w:r w:rsidRPr="00FC2F09">
        <w:rPr>
          <w:rFonts w:eastAsia="Times New Roman" w:cstheme="minorHAnsi"/>
          <w:color w:val="000000"/>
          <w:shd w:val="clear" w:color="auto" w:fill="FFFFFF"/>
          <w:lang w:val="hr-HR" w:eastAsia="hr-HR" w:bidi="hr-HR"/>
        </w:rPr>
        <w:t>. Nastavak povoljnih ostvarenja domaćeg gospodarstva u dosadašnjem dijelu godine zabilježen je u uvjetima i dalje solidnog globalnog rasta, slabljenja svjetske trgovinske razmjene (ali uz znatno opadanje neizvjesnosti oko cjelokupnog formalno-pravnog trgovinskog okvira), normalizacije cjenovnih kretanja, kao i postupnog olakšavanja uvjeta zaduživanja.</w:t>
      </w:r>
    </w:p>
    <w:p w14:paraId="53E96672" w14:textId="7EA08567" w:rsidR="007879EE" w:rsidRPr="00FC2F09" w:rsidRDefault="007879EE" w:rsidP="007879EE">
      <w:pPr>
        <w:jc w:val="both"/>
        <w:rPr>
          <w:rFonts w:eastAsia="Times New Roman" w:cstheme="minorHAnsi"/>
          <w:color w:val="000000"/>
          <w:shd w:val="clear" w:color="auto" w:fill="FFFFFF"/>
          <w:lang w:val="hr-HR" w:eastAsia="hr-HR" w:bidi="hr-HR"/>
        </w:rPr>
      </w:pPr>
      <w:r w:rsidRPr="00FC2F09">
        <w:rPr>
          <w:rFonts w:eastAsia="Times New Roman" w:cstheme="minorHAnsi"/>
          <w:color w:val="000000"/>
          <w:shd w:val="clear" w:color="auto" w:fill="FFFFFF"/>
          <w:lang w:val="hr-HR" w:eastAsia="hr-HR" w:bidi="hr-HR"/>
        </w:rPr>
        <w:t>Promatramo li dosad objavljene visoko-frekventne pokazatelje za drugu polovicu godine vidljivi su znakovi usporavanja gospodarske aktivnosti. Promet u trgovini na malo je tijekom srpnja i kolovoza dodatno usporio dinamiku prisutnu u 2025. te je rastao po prosječnoj međugodišnjoj stopi od 2,0%, a podaci o fiskaliziranim računima za naredne mjesece ne ukazuju na značajniju promjenu trenda. Nakon snažnog rasta u prvoj polovici godine, obujam industrijske proizvodnje također je usporio rast u srpnju i kolovozu na prosječno 0,7%. Međugodišnji rast obujma građevinskih radova nastavio je usporavati u srpnju i kolovozu na prosječnu stopu od 6,4%. Broj turističkih noćenja u komercijalnom smještaju zabilježio je pad od oko 1,3% na međugodišnjoj razini u srpnju i kolovozu 2025. godine. Na tržištu rada nastavljen je trend usporavanja, posebno što se tiče podataka o zaposlenosti, pa je broj osiguranika mirovinskog osiguranja u trećem tromjesečju 2025. prosječno rastao po međugodišnjoj stopi od 2,1%. Istovremeno, administrativna stopa nezaposlenosti nastavila se smanjivati u trećem tromjesečju kada je po prvi put u povijesti bila na razini od 4,0%. Podaci ankete o radnoj snazi također ukazuju na primjetno usporavanje kretanja zaposlenosti i radne snage. Pod utjecajem strukturnih manjkova pojedinih profila radnika, pojačane gospodarske aktivnosti, povišene inflacije, kao i administrativnih odluka te rasta plaća u javnom sektoru, plaće zaposlenih u pravnim osobama već treću godinu zaredom bilježe snažnu dinamiku rasta, iako slabiju u odnosu na 2023. i 2024. godinu. Ovdje treba spomenuti kako nisu uočeni znakovi bilo kakvog prelijevanja nedavnog rasta plaća u javnom sektoru na kretanja plaća u privatnom sektoru. Anketni podaci o raspoloženju ekonomskih subjekata ukazuju na usporavanje dinamike rasta zaposlenosti, kao i smanjene manjkove radne snage u nadolazećim mjesecima. Trend usporavanja inflacije potrošačkih cijena završio je već u trećem tromjesečju 2024. godine te kroz cijelu 2025. bilježimo ponovo relativno dinamičnu inflaciju koja je u trećem tromjesečju dodatno blago ubrzala i prosječno iznosila 4,2%. Trend ubrzanja rasta u trećem tromjesečju vidljiv je kod svih glavnih komponenti indeksa potrošačkih cijena izuzev usluga, dok najznačajniji doprinos rastu potrošačkih cijena dolazi upravo od kategorije usluga. Pri utjecaju na</w:t>
      </w:r>
      <w:r w:rsidRPr="007879EE">
        <w:rPr>
          <w:rFonts w:ascii="Calibri" w:eastAsia="Times New Roman" w:hAnsi="Calibri" w:cs="Times New Roman"/>
          <w:color w:val="000000"/>
          <w:shd w:val="clear" w:color="auto" w:fill="FFFFFF"/>
          <w:lang w:val="hr-HR" w:eastAsia="hr-HR" w:bidi="hr-HR"/>
        </w:rPr>
        <w:t xml:space="preserve"> </w:t>
      </w:r>
      <w:r w:rsidRPr="00FC2F09">
        <w:rPr>
          <w:rFonts w:eastAsia="Times New Roman" w:cstheme="minorHAnsi"/>
          <w:color w:val="000000"/>
          <w:shd w:val="clear" w:color="auto" w:fill="FFFFFF"/>
          <w:lang w:val="hr-HR" w:eastAsia="hr-HR" w:bidi="hr-HR"/>
        </w:rPr>
        <w:t xml:space="preserve">kretanje inflacije, izražen rast </w:t>
      </w:r>
      <w:r w:rsidRPr="00FC2F09">
        <w:rPr>
          <w:rFonts w:eastAsia="Times New Roman" w:cstheme="minorHAnsi"/>
          <w:color w:val="000000"/>
          <w:shd w:val="clear" w:color="auto" w:fill="FFFFFF"/>
          <w:lang w:val="hr-HR" w:eastAsia="hr-HR" w:bidi="hr-HR"/>
        </w:rPr>
        <w:lastRenderedPageBreak/>
        <w:t>jediničnih troškova rada u određenoj je mjeri ublažen relativnim smanjenjem bruto operativnog viška poduzeća.</w:t>
      </w:r>
    </w:p>
    <w:p w14:paraId="3C0C153B" w14:textId="6F2AB108" w:rsidR="007879EE" w:rsidRPr="00FC2F09" w:rsidRDefault="007879EE" w:rsidP="007879EE">
      <w:pPr>
        <w:jc w:val="both"/>
        <w:rPr>
          <w:rFonts w:eastAsia="Times New Roman" w:cstheme="minorHAnsi"/>
          <w:color w:val="000000"/>
          <w:shd w:val="clear" w:color="auto" w:fill="FFFFFF"/>
          <w:lang w:val="hr-HR" w:eastAsia="hr-HR" w:bidi="hr-HR"/>
        </w:rPr>
      </w:pPr>
      <w:r w:rsidRPr="00FC2F09">
        <w:rPr>
          <w:rFonts w:eastAsia="Times New Roman" w:cstheme="minorHAnsi"/>
          <w:color w:val="000000"/>
          <w:shd w:val="clear" w:color="auto" w:fill="FFFFFF"/>
          <w:lang w:val="hr-HR" w:eastAsia="hr-HR" w:bidi="hr-HR"/>
        </w:rPr>
        <w:t xml:space="preserve">Ukratko opisani najnoviji visokofrekventni makroekonomski pokazatelji, kao i pokazatelji raspoloženja ekonomskih subjekata, te najrecentnije prognoze za svjetsko gospodarstvo upućuju na nastavak postupnog usporavanja gospodarske aktivnosti u drugom dijelu godine te rast BDP-a </w:t>
      </w:r>
      <w:r w:rsidR="00260AE8">
        <w:rPr>
          <w:rFonts w:eastAsia="Times New Roman" w:cstheme="minorHAnsi"/>
          <w:color w:val="000000"/>
          <w:shd w:val="clear" w:color="auto" w:fill="FFFFFF"/>
          <w:lang w:val="hr-HR" w:eastAsia="hr-HR" w:bidi="hr-HR"/>
        </w:rPr>
        <w:t>Hrvatske</w:t>
      </w:r>
      <w:r w:rsidRPr="00FC2F09">
        <w:rPr>
          <w:rFonts w:eastAsia="Times New Roman" w:cstheme="minorHAnsi"/>
          <w:color w:val="000000"/>
          <w:shd w:val="clear" w:color="auto" w:fill="FFFFFF"/>
          <w:lang w:val="hr-HR" w:eastAsia="hr-HR" w:bidi="hr-HR"/>
        </w:rPr>
        <w:t xml:space="preserve"> od 3,2% u cijeloj 2025. godini. Ovakva prognoza odražava poboljšane izglede rasta svjetskog gospodarstva te povoljno kretanje inozemne potražnje, uz pozitivan utjecaj poboljšanja financijskih uvjeta. Hrvatski gospodarski rast u 2025. temeljen je u potpunosti na doprinosu domaće potražnje, prvenstveno osobne potrošnje, ali u nešto manjoj mjeri i državne potrošnje te bruto investicija u fiksni kapital. Unatoč ponovnom ubrzanju inflacije, rast osobne potrošnje odražava i dalje snažan realni rast raspoloživog dohotka sektora kućanstava, iako niži nego godinu ranije. On u 2025. počiva na snažnom doprinosu naknada zaposlenicima, ipak nešto manjem nego prethodne tri godine, ali i na iznimno izraženom doprinosu socijalnih naknada već treću godinu zaredom. Bruto investicije u fiksni kapital rast</w:t>
      </w:r>
      <w:r w:rsidR="00943636">
        <w:rPr>
          <w:rFonts w:eastAsia="Times New Roman" w:cstheme="minorHAnsi"/>
          <w:color w:val="000000"/>
          <w:shd w:val="clear" w:color="auto" w:fill="FFFFFF"/>
          <w:lang w:val="hr-HR" w:eastAsia="hr-HR" w:bidi="hr-HR"/>
        </w:rPr>
        <w:t>i</w:t>
      </w:r>
      <w:r w:rsidRPr="00FC2F09">
        <w:rPr>
          <w:rFonts w:eastAsia="Times New Roman" w:cstheme="minorHAnsi"/>
          <w:color w:val="000000"/>
          <w:shd w:val="clear" w:color="auto" w:fill="FFFFFF"/>
          <w:lang w:val="hr-HR" w:eastAsia="hr-HR" w:bidi="hr-HR"/>
        </w:rPr>
        <w:t xml:space="preserve"> će sličnom stopom kao i prošle godine, međutim uz znatno manji doprinos rastu od strane investicija privatnog sektora, koji će biti približan doprinosu od strane investicija državnog sektora, te uz dominantan utjecaj investicija u građevinskoj djelatnosti. Najveći doprinos rastu državne potrošnje dolazi od intermedijarne potrošnje, a slijede naknade zaposlenicima, čiji doprinos proizlazi iz izraženog rasta zaposlenosti na razini opće države. Rast izvoza roba odražava ubrzanje dinamike inozemne potražnje iz 2024., ali i određeno povećanje udjela na izvoznim tržištima roba, iako znatno slabije nego prošle godine. Pad izvoza usluga odnosi se na realno smanjenje kategorije putovanja (koja je u 2024. činila 66% izvoza usluga), unutar koje je ugrađeni negativni utjecaj nastavka izraženog smanjenja prosječne potrošnje po turistu prevagnuo nad pozitivnim utjecajem rasta broja noćenja stranih turista, ali i određeno realno smanjenje izvoza usluga izuzev putovanja. Uvoz roba i usluga u 2025. obilježava slabljenje rasta uvoza roba te nastavak četverogodišnje snažne dinamika uvoza usluga, pretežno uslijed izražene turističke potrošnje rezidenata. Doprinos neto inozemne potražnje u 2025. bit će negativan, iako po apsolutnoj vrijednosti dosta manji nego prošle godine. Slab negativan doprinos gospodarskom rastu očekuje se i od kategorije promjena zaliha.</w:t>
      </w:r>
    </w:p>
    <w:p w14:paraId="36974EE7" w14:textId="77777777" w:rsidR="001B159D" w:rsidRPr="00FC2F09" w:rsidRDefault="007879EE" w:rsidP="00E31389">
      <w:pPr>
        <w:spacing w:before="240" w:after="120"/>
        <w:contextualSpacing/>
        <w:jc w:val="both"/>
        <w:rPr>
          <w:rFonts w:cstheme="minorHAnsi"/>
          <w:i/>
          <w:highlight w:val="yellow"/>
          <w:lang w:val="hr-HR"/>
        </w:rPr>
      </w:pPr>
      <w:bookmarkStart w:id="4" w:name="_Toc15461767"/>
      <w:bookmarkStart w:id="5" w:name="_Toc51682465"/>
      <w:r w:rsidRPr="00FC2F09">
        <w:rPr>
          <w:rFonts w:eastAsia="Calibri" w:cstheme="minorHAnsi"/>
          <w:lang w:val="hr-HR" w:bidi="hr-HR"/>
        </w:rPr>
        <w:t>Nastavno na opisana domaća gospodarska kretanja te ekonomska očekivanja za međunarodno okružje, uzimajući u obzir i pokazatelje raspoloženja gospodarskih subjekata, u drugom dijelu 2025. te u 2026. godini predviđa se postupno, blago usporavanje dinamike gospodarskog rasta. U kontekstu brzog zatvaranja pozitivnog jaza proizvodnje, postupno iščezavanje privremenih učinaka i jačanje utjecaja dugoročnijih gospodarskih silnica, značit će u narednim godinama tranziciju putanje BDP-a iz razdoblja s prosječnim rastom od oko 3,5% u razdoblje nešto nižih stopa rasta. Tako će u 2026. BDP rasti stopom od 2,7%, u uvjetima blago sporijeg ekonomskog rasta te dodatnog slabljenja inflacije u međunarodnom okruženju, uz usporavanje vanjskotrgovinske razmjene te postupno opuštanje međunarodnih uvjeta financiranja. Realni rast BDP-a bit će ostvaren isključivo pod utjecajem domaće</w:t>
      </w:r>
      <w:r w:rsidRPr="00FC2F09">
        <w:rPr>
          <w:rFonts w:eastAsia="Calibri" w:cstheme="minorHAnsi"/>
          <w:lang w:val="hr-HR"/>
        </w:rPr>
        <w:t xml:space="preserve"> </w:t>
      </w:r>
      <w:r w:rsidRPr="00FC2F09">
        <w:rPr>
          <w:rFonts w:eastAsia="Calibri" w:cstheme="minorHAnsi"/>
          <w:lang w:val="hr-HR" w:bidi="hr-HR"/>
        </w:rPr>
        <w:t>potražnje, dok će doprinos neto inozemne potražnje u 2026. ostati negativan, iako slabiji nego 2025., a doprinos promjena zaliha neutralan.</w:t>
      </w:r>
    </w:p>
    <w:p w14:paraId="65BABEEB" w14:textId="77777777" w:rsidR="007879EE" w:rsidRPr="00FC2F09" w:rsidRDefault="007879EE" w:rsidP="00E31389">
      <w:pPr>
        <w:spacing w:before="240" w:after="120"/>
        <w:contextualSpacing/>
        <w:jc w:val="both"/>
        <w:rPr>
          <w:rFonts w:cstheme="minorHAnsi"/>
          <w:i/>
          <w:lang w:val="hr-HR"/>
        </w:rPr>
      </w:pPr>
    </w:p>
    <w:p w14:paraId="483B36C1" w14:textId="2393C3C3" w:rsidR="00D969EE" w:rsidRPr="00D969EE" w:rsidRDefault="009F444C" w:rsidP="00E31389">
      <w:pPr>
        <w:spacing w:before="240" w:after="120"/>
        <w:contextualSpacing/>
        <w:jc w:val="both"/>
        <w:rPr>
          <w:rFonts w:cstheme="minorHAnsi"/>
          <w:bCs/>
          <w:i/>
          <w:sz w:val="20"/>
          <w:szCs w:val="20"/>
          <w:lang w:val="hr-HR"/>
        </w:rPr>
      </w:pPr>
      <w:r w:rsidRPr="00D969EE">
        <w:rPr>
          <w:rFonts w:cstheme="minorHAnsi"/>
          <w:i/>
          <w:lang w:val="hr-HR"/>
        </w:rPr>
        <w:lastRenderedPageBreak/>
        <w:t xml:space="preserve">Tablica </w:t>
      </w:r>
      <w:r w:rsidRPr="00D969EE">
        <w:rPr>
          <w:rFonts w:cstheme="minorHAnsi"/>
          <w:i/>
          <w:lang w:val="hr-HR"/>
        </w:rPr>
        <w:fldChar w:fldCharType="begin"/>
      </w:r>
      <w:r w:rsidRPr="00D969EE">
        <w:rPr>
          <w:rFonts w:cstheme="minorHAnsi"/>
          <w:i/>
          <w:lang w:val="hr-HR"/>
        </w:rPr>
        <w:instrText xml:space="preserve"> SEQ Tablica \* ARABIC </w:instrText>
      </w:r>
      <w:r w:rsidRPr="00D969EE">
        <w:rPr>
          <w:rFonts w:cstheme="minorHAnsi"/>
          <w:i/>
          <w:lang w:val="hr-HR"/>
        </w:rPr>
        <w:fldChar w:fldCharType="separate"/>
      </w:r>
      <w:r w:rsidR="004953C0">
        <w:rPr>
          <w:rFonts w:cstheme="minorHAnsi"/>
          <w:i/>
          <w:noProof/>
          <w:lang w:val="hr-HR"/>
        </w:rPr>
        <w:t>2</w:t>
      </w:r>
      <w:r w:rsidRPr="00D969EE">
        <w:rPr>
          <w:rFonts w:cstheme="minorHAnsi"/>
          <w:i/>
          <w:lang w:val="hr-HR"/>
        </w:rPr>
        <w:fldChar w:fldCharType="end"/>
      </w:r>
      <w:r w:rsidRPr="00D969EE">
        <w:rPr>
          <w:rFonts w:cstheme="minorHAnsi"/>
          <w:i/>
          <w:lang w:val="hr-HR"/>
        </w:rPr>
        <w:t>: Makro</w:t>
      </w:r>
      <w:r w:rsidR="008A4CB3" w:rsidRPr="00D969EE">
        <w:rPr>
          <w:rFonts w:cstheme="minorHAnsi"/>
          <w:i/>
          <w:lang w:val="hr-HR"/>
        </w:rPr>
        <w:t>ekonomski okvir u razdoblju 202</w:t>
      </w:r>
      <w:r w:rsidR="007879EE" w:rsidRPr="00D969EE">
        <w:rPr>
          <w:rFonts w:cstheme="minorHAnsi"/>
          <w:i/>
          <w:lang w:val="hr-HR"/>
        </w:rPr>
        <w:t>4</w:t>
      </w:r>
      <w:r w:rsidRPr="00D969EE">
        <w:rPr>
          <w:rFonts w:cstheme="minorHAnsi"/>
          <w:i/>
          <w:lang w:val="hr-HR"/>
        </w:rPr>
        <w:t>. – 202</w:t>
      </w:r>
      <w:r w:rsidR="007879EE" w:rsidRPr="00D969EE">
        <w:rPr>
          <w:rFonts w:cstheme="minorHAnsi"/>
          <w:i/>
          <w:lang w:val="hr-HR"/>
        </w:rPr>
        <w:t>8</w:t>
      </w:r>
      <w:r w:rsidRPr="00D969EE">
        <w:rPr>
          <w:rFonts w:cstheme="minorHAnsi"/>
          <w:i/>
          <w:lang w:val="hr-HR"/>
        </w:rPr>
        <w:t>.</w:t>
      </w:r>
      <w:bookmarkEnd w:id="4"/>
      <w:bookmarkEnd w:id="5"/>
      <w:r w:rsidR="003B354B" w:rsidRPr="00D969EE">
        <w:rPr>
          <w:rFonts w:cstheme="minorHAnsi"/>
          <w:i/>
          <w:lang w:val="hr-HR"/>
        </w:rPr>
        <w:tab/>
      </w:r>
      <w:r w:rsidR="007879EE" w:rsidRPr="00D969EE">
        <w:rPr>
          <w:rFonts w:cstheme="minorHAnsi"/>
          <w:i/>
          <w:lang w:val="hr-HR"/>
        </w:rPr>
        <w:br/>
      </w:r>
      <w:r w:rsidR="00D969EE" w:rsidRPr="00D969EE">
        <w:rPr>
          <w:noProof/>
          <w:lang w:val="hr-HR" w:eastAsia="hr-HR"/>
        </w:rPr>
        <w:drawing>
          <wp:inline distT="0" distB="0" distL="0" distR="0" wp14:anchorId="401BE834" wp14:editId="09A7D6B4">
            <wp:extent cx="5760720" cy="3671668"/>
            <wp:effectExtent l="0" t="0" r="0" b="5080"/>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671668"/>
                    </a:xfrm>
                    <a:prstGeom prst="rect">
                      <a:avLst/>
                    </a:prstGeom>
                    <a:noFill/>
                    <a:ln>
                      <a:noFill/>
                    </a:ln>
                  </pic:spPr>
                </pic:pic>
              </a:graphicData>
            </a:graphic>
          </wp:inline>
        </w:drawing>
      </w:r>
      <w:r w:rsidR="003B354B" w:rsidRPr="00D969EE">
        <w:rPr>
          <w:rFonts w:cstheme="minorHAnsi"/>
          <w:i/>
          <w:lang w:val="hr-HR"/>
        </w:rPr>
        <w:br/>
      </w:r>
      <w:r w:rsidR="00D969EE" w:rsidRPr="00D969EE">
        <w:rPr>
          <w:rFonts w:cstheme="minorHAnsi"/>
          <w:bCs/>
          <w:i/>
          <w:sz w:val="20"/>
          <w:szCs w:val="20"/>
          <w:lang w:val="hr-HR"/>
        </w:rPr>
        <w:t>Napomena: Podaci za 2024. su privremeni</w:t>
      </w:r>
    </w:p>
    <w:p w14:paraId="22B06DD8" w14:textId="77777777" w:rsidR="009F444C" w:rsidRPr="00FC2F09" w:rsidRDefault="009F444C" w:rsidP="00E31389">
      <w:pPr>
        <w:spacing w:before="240" w:after="120"/>
        <w:contextualSpacing/>
        <w:jc w:val="both"/>
        <w:rPr>
          <w:rFonts w:cstheme="minorHAnsi"/>
          <w:bCs/>
          <w:i/>
          <w:sz w:val="20"/>
          <w:szCs w:val="20"/>
          <w:lang w:val="hr-HR"/>
        </w:rPr>
      </w:pPr>
      <w:r w:rsidRPr="00D969EE">
        <w:rPr>
          <w:rFonts w:cstheme="minorHAnsi"/>
          <w:bCs/>
          <w:i/>
          <w:sz w:val="20"/>
          <w:szCs w:val="20"/>
          <w:lang w:val="hr-HR"/>
        </w:rPr>
        <w:t>Izvor: DZS, Ministarstvo financija</w:t>
      </w:r>
    </w:p>
    <w:p w14:paraId="6572C83D" w14:textId="77777777" w:rsidR="007879EE" w:rsidRPr="00FC2F09" w:rsidRDefault="007879EE" w:rsidP="00FC2F09">
      <w:pPr>
        <w:spacing w:before="240" w:after="120"/>
        <w:jc w:val="both"/>
        <w:rPr>
          <w:rFonts w:eastAsia="Calibri" w:cstheme="minorHAnsi"/>
          <w:lang w:val="hr-HR" w:bidi="hr-HR"/>
        </w:rPr>
      </w:pPr>
      <w:r w:rsidRPr="00FC2F09">
        <w:rPr>
          <w:rFonts w:eastAsia="Calibri" w:cstheme="minorHAnsi"/>
          <w:lang w:val="hr-HR" w:bidi="hr-HR"/>
        </w:rPr>
        <w:t>Tržište rada već u 2025. godini bilježi slabiji rast potražnje za radom, kao odraz realnih tijekova gospodarske aktivnosti, pa će se tako rast zaposlenosti i u 2026. nastaviti usporavati (prema svim konceptima zaposlenosti), a anketna stopa nezaposlenosti stabilizirati na razini od oko 5,0%. Navedeno jenjavanje potražnje za radom, kao i prisutni pozitivni trendovi migracijskog salda, pridonijeli su olakšavanju posljedica neravnoteže između ponude i potražnje za radom u određenim zastupljenim djelatnostima. Tako će u 2026., u uvjetima slabljenja inflatornih pritisaka, znatno usporiti nominalni rast bruto plaća zaposlenika. Uz zadržavanje blago pozitivnog rasta produktivnosti rada, opisana kretanja plaća dovest će do znatnog usporavanja rasta jediničnih troškova rada, nakon iznimno visokih vrijednosti u protekle četiri godine. Tijekom 2026</w:t>
      </w:r>
      <w:r w:rsidR="00995194">
        <w:rPr>
          <w:rFonts w:eastAsia="Calibri" w:cstheme="minorHAnsi"/>
          <w:lang w:val="hr-HR" w:bidi="hr-HR"/>
        </w:rPr>
        <w:t>.</w:t>
      </w:r>
      <w:r w:rsidRPr="00FC2F09">
        <w:rPr>
          <w:rFonts w:eastAsia="Calibri" w:cstheme="minorHAnsi"/>
          <w:lang w:val="hr-HR" w:bidi="hr-HR"/>
        </w:rPr>
        <w:t xml:space="preserve"> očekuje se usporavanje inflacije potrošačkih cijena, ali i blaži realni rast raspoloživog dohotka stanovništva, nakon izraženijeg usporavanja u 2025. godini. </w:t>
      </w:r>
      <w:r w:rsidRPr="008B5CAF">
        <w:rPr>
          <w:rFonts w:eastAsia="Calibri" w:cstheme="minorHAnsi"/>
          <w:lang w:val="hr-HR" w:bidi="hr-HR"/>
        </w:rPr>
        <w:t>Pritom će znatno smanjenje doprinosa naknada zaposlenicima biti u većoj mjeri poništeno smanjenjem negativnog doprinosa poreznih davanja, a posebno se to odnosi na socijalne doprinose, dok pozitivan doprinos socijalnih naknada neće biti toliko smanjen.</w:t>
      </w:r>
      <w:r w:rsidRPr="00FC2F09">
        <w:rPr>
          <w:rFonts w:eastAsia="Calibri" w:cstheme="minorHAnsi"/>
          <w:lang w:val="hr-HR" w:bidi="hr-HR"/>
        </w:rPr>
        <w:t xml:space="preserve"> Nakon izraženijeg rasta u 2024. i nešto manjeg u 2025., stopa štednje stanovništva mogla bi još u 2026. zabilježiti marginalno daljnje povećanje negdje na razinu neznatno iznad pretpandemijske. Uz pretpostavljeno nepoljuljano raspoloženje potrošača, kao i nisku te stabilnu očekivanu inflaciju, osobna potrošnja ostat će temelj rasta domaće potražnje, kao i BDP-a.</w:t>
      </w:r>
    </w:p>
    <w:p w14:paraId="7F78C504" w14:textId="1F3CA8DC" w:rsidR="00D969EE" w:rsidRPr="00D969EE" w:rsidRDefault="006E4108" w:rsidP="00D969EE">
      <w:pPr>
        <w:spacing w:after="0"/>
        <w:jc w:val="both"/>
        <w:rPr>
          <w:rFonts w:ascii="Calibri" w:hAnsi="Calibri"/>
          <w:bCs/>
          <w:i/>
          <w:sz w:val="20"/>
          <w:szCs w:val="20"/>
          <w:lang w:val="hr-HR"/>
        </w:rPr>
      </w:pPr>
      <w:r w:rsidRPr="00D969EE">
        <w:rPr>
          <w:rFonts w:cstheme="minorHAnsi"/>
          <w:i/>
          <w:lang w:val="hr-HR"/>
        </w:rPr>
        <w:lastRenderedPageBreak/>
        <w:t xml:space="preserve">Tablica </w:t>
      </w:r>
      <w:r w:rsidRPr="00D969EE">
        <w:rPr>
          <w:rFonts w:cstheme="minorHAnsi"/>
          <w:i/>
          <w:lang w:val="hr-HR"/>
        </w:rPr>
        <w:fldChar w:fldCharType="begin"/>
      </w:r>
      <w:r w:rsidRPr="00D969EE">
        <w:rPr>
          <w:rFonts w:cstheme="minorHAnsi"/>
          <w:i/>
          <w:lang w:val="hr-HR"/>
        </w:rPr>
        <w:instrText xml:space="preserve"> SEQ Tablica \* ARABIC </w:instrText>
      </w:r>
      <w:r w:rsidRPr="00D969EE">
        <w:rPr>
          <w:rFonts w:cstheme="minorHAnsi"/>
          <w:i/>
          <w:lang w:val="hr-HR"/>
        </w:rPr>
        <w:fldChar w:fldCharType="separate"/>
      </w:r>
      <w:r w:rsidR="004953C0">
        <w:rPr>
          <w:rFonts w:cstheme="minorHAnsi"/>
          <w:i/>
          <w:noProof/>
          <w:lang w:val="hr-HR"/>
        </w:rPr>
        <w:t>3</w:t>
      </w:r>
      <w:r w:rsidRPr="00D969EE">
        <w:rPr>
          <w:rFonts w:cstheme="minorHAnsi"/>
          <w:i/>
          <w:lang w:val="hr-HR"/>
        </w:rPr>
        <w:fldChar w:fldCharType="end"/>
      </w:r>
      <w:r w:rsidRPr="00D969EE">
        <w:rPr>
          <w:rFonts w:cstheme="minorHAnsi"/>
          <w:i/>
          <w:lang w:val="hr-HR"/>
        </w:rPr>
        <w:t>: Kretanja na tržištu rada</w:t>
      </w:r>
      <w:r w:rsidR="00B15C4E" w:rsidRPr="00D969EE">
        <w:rPr>
          <w:rFonts w:cstheme="minorHAnsi"/>
          <w:i/>
          <w:lang w:val="hr-HR"/>
        </w:rPr>
        <w:tab/>
      </w:r>
      <w:r w:rsidR="007879EE" w:rsidRPr="00057D08">
        <w:rPr>
          <w:rFonts w:cstheme="minorHAnsi"/>
          <w:i/>
          <w:highlight w:val="yellow"/>
          <w:lang w:val="hr-HR"/>
        </w:rPr>
        <w:br/>
      </w:r>
      <w:r w:rsidR="00D969EE" w:rsidRPr="00D969EE">
        <w:rPr>
          <w:noProof/>
          <w:lang w:val="hr-HR" w:eastAsia="hr-HR"/>
        </w:rPr>
        <w:drawing>
          <wp:inline distT="0" distB="0" distL="0" distR="0" wp14:anchorId="06E479A2" wp14:editId="061ADED9">
            <wp:extent cx="5760720" cy="1889848"/>
            <wp:effectExtent l="0" t="0" r="0" b="0"/>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889848"/>
                    </a:xfrm>
                    <a:prstGeom prst="rect">
                      <a:avLst/>
                    </a:prstGeom>
                    <a:noFill/>
                    <a:ln>
                      <a:noFill/>
                    </a:ln>
                  </pic:spPr>
                </pic:pic>
              </a:graphicData>
            </a:graphic>
          </wp:inline>
        </w:drawing>
      </w:r>
      <w:r w:rsidR="00B15C4E" w:rsidRPr="00D969EE">
        <w:rPr>
          <w:rFonts w:cstheme="minorHAnsi"/>
          <w:i/>
          <w:lang w:val="hr-HR"/>
        </w:rPr>
        <w:br/>
      </w:r>
      <w:r w:rsidR="00D969EE" w:rsidRPr="00D969EE">
        <w:rPr>
          <w:rFonts w:ascii="Calibri" w:hAnsi="Calibri"/>
          <w:bCs/>
          <w:i/>
          <w:sz w:val="20"/>
          <w:szCs w:val="20"/>
          <w:vertAlign w:val="superscript"/>
          <w:lang w:val="hr-HR"/>
        </w:rPr>
        <w:t>1</w:t>
      </w:r>
      <w:r w:rsidR="00D969EE" w:rsidRPr="00D969EE">
        <w:rPr>
          <w:rFonts w:ascii="Calibri" w:hAnsi="Calibri"/>
          <w:bCs/>
          <w:i/>
          <w:sz w:val="20"/>
          <w:szCs w:val="20"/>
          <w:lang w:val="hr-HR"/>
        </w:rPr>
        <w:t xml:space="preserve"> Prema anketi o radnoj snazi. </w:t>
      </w:r>
    </w:p>
    <w:p w14:paraId="572B2A21" w14:textId="77777777" w:rsidR="00D969EE" w:rsidRPr="00D969EE" w:rsidRDefault="00D969EE" w:rsidP="00D969EE">
      <w:pPr>
        <w:spacing w:after="0"/>
        <w:jc w:val="both"/>
        <w:rPr>
          <w:rFonts w:ascii="Calibri" w:hAnsi="Calibri"/>
          <w:bCs/>
          <w:i/>
          <w:sz w:val="20"/>
          <w:szCs w:val="20"/>
          <w:lang w:val="hr-HR"/>
        </w:rPr>
      </w:pPr>
      <w:r w:rsidRPr="00D969EE">
        <w:rPr>
          <w:rFonts w:ascii="Calibri" w:hAnsi="Calibri"/>
          <w:bCs/>
          <w:i/>
          <w:sz w:val="20"/>
          <w:szCs w:val="20"/>
          <w:vertAlign w:val="superscript"/>
          <w:lang w:val="hr-HR"/>
        </w:rPr>
        <w:t>2</w:t>
      </w:r>
      <w:r w:rsidRPr="00D969EE">
        <w:rPr>
          <w:rFonts w:ascii="Calibri" w:hAnsi="Calibri"/>
          <w:bCs/>
          <w:i/>
          <w:sz w:val="20"/>
          <w:szCs w:val="20"/>
          <w:lang w:val="hr-HR"/>
        </w:rPr>
        <w:t xml:space="preserve"> Prema definiciji nacionalnih računa (domaći koncept). U 2025. su naknade zaposlenicima procijenjene prema stopi rasta broja zaposlenika većoj od one prema domaćem konceptu nacionalnih računa, sličnijoj stopi rasta osiguranika mirovinskog sustava, jer su dvije serije bilježile znatnije odstupanje.</w:t>
      </w:r>
    </w:p>
    <w:p w14:paraId="2DFC219C" w14:textId="77777777" w:rsidR="00D969EE" w:rsidRPr="00D969EE" w:rsidRDefault="00D969EE" w:rsidP="00D969EE">
      <w:pPr>
        <w:spacing w:after="0"/>
        <w:jc w:val="both"/>
        <w:rPr>
          <w:rFonts w:ascii="Calibri" w:hAnsi="Calibri"/>
          <w:bCs/>
          <w:i/>
          <w:sz w:val="20"/>
          <w:szCs w:val="20"/>
          <w:lang w:val="hr-HR"/>
        </w:rPr>
      </w:pPr>
      <w:r w:rsidRPr="00D969EE">
        <w:rPr>
          <w:rFonts w:ascii="Calibri" w:hAnsi="Calibri"/>
          <w:bCs/>
          <w:i/>
          <w:sz w:val="20"/>
          <w:szCs w:val="20"/>
          <w:vertAlign w:val="superscript"/>
          <w:lang w:val="hr-HR"/>
        </w:rPr>
        <w:t>3</w:t>
      </w:r>
      <w:r w:rsidRPr="00D969EE">
        <w:rPr>
          <w:rFonts w:ascii="Calibri" w:hAnsi="Calibri"/>
          <w:bCs/>
          <w:i/>
          <w:sz w:val="20"/>
          <w:szCs w:val="20"/>
          <w:lang w:val="hr-HR"/>
        </w:rPr>
        <w:t xml:space="preserve"> Administrativni izvori.</w:t>
      </w:r>
    </w:p>
    <w:p w14:paraId="3CA22D8C" w14:textId="77777777" w:rsidR="00D969EE" w:rsidRPr="00D969EE" w:rsidRDefault="00D969EE" w:rsidP="00D969EE">
      <w:pPr>
        <w:spacing w:after="0"/>
        <w:jc w:val="both"/>
        <w:rPr>
          <w:rFonts w:ascii="Calibri" w:hAnsi="Calibri"/>
          <w:bCs/>
          <w:i/>
          <w:sz w:val="20"/>
          <w:szCs w:val="20"/>
          <w:lang w:val="hr-HR"/>
        </w:rPr>
      </w:pPr>
      <w:r w:rsidRPr="00D969EE">
        <w:rPr>
          <w:rFonts w:ascii="Calibri" w:hAnsi="Calibri"/>
          <w:bCs/>
          <w:i/>
          <w:sz w:val="20"/>
          <w:szCs w:val="20"/>
          <w:lang w:val="hr-HR"/>
        </w:rPr>
        <w:t>Napomena: Podaci za 2024. su preliminarni.</w:t>
      </w:r>
    </w:p>
    <w:p w14:paraId="34BA1F77" w14:textId="77777777" w:rsidR="006E4108" w:rsidRPr="00701186" w:rsidRDefault="006E4108" w:rsidP="007879EE">
      <w:pPr>
        <w:spacing w:after="120"/>
        <w:jc w:val="both"/>
        <w:rPr>
          <w:rFonts w:cs="Times New Roman"/>
          <w:lang w:val="hr-HR"/>
        </w:rPr>
      </w:pPr>
      <w:r w:rsidRPr="00D969EE">
        <w:rPr>
          <w:rFonts w:ascii="Calibri" w:hAnsi="Calibri"/>
          <w:bCs/>
          <w:i/>
          <w:sz w:val="20"/>
          <w:szCs w:val="20"/>
          <w:lang w:val="hr-HR"/>
        </w:rPr>
        <w:t>Izvor: DZS, HZMO, Ministarstvo financija</w:t>
      </w:r>
    </w:p>
    <w:p w14:paraId="6355D645" w14:textId="77777777" w:rsidR="007879EE" w:rsidRPr="00FC2F09" w:rsidRDefault="007879EE" w:rsidP="007879EE">
      <w:pPr>
        <w:spacing w:before="240" w:after="120"/>
        <w:contextualSpacing/>
        <w:jc w:val="both"/>
        <w:rPr>
          <w:rFonts w:eastAsia="Calibri" w:cstheme="minorHAnsi"/>
          <w:lang w:val="hr-HR" w:bidi="hr-HR"/>
        </w:rPr>
      </w:pPr>
      <w:bookmarkStart w:id="6" w:name="_Toc51682466"/>
      <w:r w:rsidRPr="00FC2F09">
        <w:rPr>
          <w:rFonts w:eastAsia="Calibri" w:cstheme="minorHAnsi"/>
          <w:lang w:val="hr-HR" w:bidi="hr-HR"/>
        </w:rPr>
        <w:t xml:space="preserve">Rast državne potrošnje ostat će u 2026. dominantno pod utjecajem snažne dinamike intermedijarne potrošnje, koja će ipak blago usporiti u odnosu na prethodnu godinu, dok će rast zaposlenosti u javnom sektoru znatno usporiti te opet postati slabiji od usporedivog rasta u privatnom sektoru. Rast bruto investicija u fiksni kapital oslabit će u 2026., pri čemu će rast investicija javnog sektora snažnije usporiti od rasta investicija privatnog sektora. Dinamika investicija privatnog sektora bit će potpomognuta daljnjim popuštanjem uvjeta financiranja te očekivanim daljnjim smanjenjem neizvjesnosti oko trgovinskih uvjeta, kao i općih političkih te gospodarskih kretanja. S druge strane, dok će dinamika investicija javnog sektora biti primarno ograničena izraženim nepovoljnim baznim učinkom uslijed pojačanih kapitalnih priljeva proteklih godina, slabija potražnja, strukturni manjak na tržištu rada, ali i </w:t>
      </w:r>
      <w:r w:rsidRPr="00B2679F">
        <w:rPr>
          <w:rFonts w:eastAsia="Calibri" w:cstheme="minorHAnsi"/>
          <w:lang w:val="hr-HR" w:bidi="hr-HR"/>
        </w:rPr>
        <w:t>rastući pritisak na profitabilnost poduzeća utjecat će na investicije privatnog sektora. Naime, uslijed povećanih troškova inputa proizvodnje te zahtjeva međunarodne cjenovne konkurentnosti, relativni pokazatelj bruto operativnog viška i miješanih dohodaka će, nakon povišenih vrijednosti u inflatornom okruženju prethodne tri godine te smanjenja u 2024. i 2025. na razine ispod pretpandemijskih, i sljedeće godine također bilježiti daljnje smanjenje, samo znatno blaže. Doprinos</w:t>
      </w:r>
      <w:r w:rsidRPr="00FC2F09">
        <w:rPr>
          <w:rFonts w:eastAsia="Calibri" w:cstheme="minorHAnsi"/>
          <w:lang w:val="hr-HR" w:bidi="hr-HR"/>
        </w:rPr>
        <w:t xml:space="preserve"> promjena zaliha gospodarskom rastu u narednoj godini bit će neutralan.</w:t>
      </w:r>
    </w:p>
    <w:p w14:paraId="6F09FE30" w14:textId="77777777" w:rsidR="007879EE" w:rsidRPr="00FC2F09" w:rsidRDefault="007879EE" w:rsidP="007879EE">
      <w:pPr>
        <w:spacing w:before="240" w:after="120"/>
        <w:contextualSpacing/>
        <w:jc w:val="both"/>
        <w:rPr>
          <w:rFonts w:eastAsia="Calibri" w:cstheme="minorHAnsi"/>
          <w:lang w:val="hr-HR" w:bidi="hr-HR"/>
        </w:rPr>
      </w:pPr>
    </w:p>
    <w:p w14:paraId="6D697191" w14:textId="7FB4B29F" w:rsidR="007879EE" w:rsidRPr="00FC2F09" w:rsidRDefault="007879EE" w:rsidP="007879EE">
      <w:pPr>
        <w:spacing w:before="240" w:after="120"/>
        <w:contextualSpacing/>
        <w:jc w:val="both"/>
        <w:rPr>
          <w:rFonts w:eastAsia="Calibri" w:cstheme="minorHAnsi"/>
          <w:lang w:val="hr-HR" w:bidi="hr-HR"/>
        </w:rPr>
      </w:pPr>
      <w:r w:rsidRPr="00FC2F09">
        <w:rPr>
          <w:rFonts w:eastAsia="Calibri" w:cstheme="minorHAnsi"/>
          <w:lang w:val="hr-HR" w:bidi="hr-HR"/>
        </w:rPr>
        <w:t>Rast izvoza roba će u 2026. usporiti prije svega kao rezultat slabljenja inozemne potražnje za domaćim robama, ali i uslijed nepovoljnog baznog učinka zbog naglašenog rasta zastupljenosti hrvatskog izvoza na stranim tržištima roba u proteklom razdoblju, koji ističe upravo dugoročna unutarnja ograničenja za izglede izvoznog sektora roba. Izvoz usluga zabilježit će u 2026. godini neznatan oporavak kao rezultat umjerenog oporavka izvoza usluga izuzev putovanja. Kategorija putovanja mogla bi ostvariti daljnji, ali iznimno blagi realni pad, popraćen znatnim ublažavanjem negativne realne dinamike prosječne potrošnje po stranom turistu primjetne posljednje dvije godine, uslijed korekcije turističkih navika. S druge strane,</w:t>
      </w:r>
      <w:r w:rsidR="00486E90">
        <w:rPr>
          <w:rFonts w:eastAsia="Calibri" w:cstheme="minorHAnsi"/>
          <w:lang w:val="hr-HR" w:bidi="hr-HR"/>
        </w:rPr>
        <w:t xml:space="preserve"> rast</w:t>
      </w:r>
      <w:r w:rsidRPr="00FC2F09">
        <w:rPr>
          <w:rFonts w:eastAsia="Calibri" w:cstheme="minorHAnsi"/>
          <w:lang w:val="hr-HR" w:bidi="hr-HR"/>
        </w:rPr>
        <w:t xml:space="preserve"> broj noćenja stranih turista će blago usporiti u odnosu na prethodne dvije godine. Kao rezultat daljnjeg usporavanja dinamike konačne potražnje, uz izraženije usporavanje investicija koje karakterizira visoka zastupljenost uvozne komponente, ali i zbog iznimno visoke dostignute razine udjela uvoza u BDP-u, uvoz roba i usluga će naredne godine rasti tek nešto brže od </w:t>
      </w:r>
      <w:r w:rsidRPr="00FC2F09">
        <w:rPr>
          <w:rFonts w:eastAsia="Calibri" w:cstheme="minorHAnsi"/>
          <w:lang w:val="hr-HR" w:bidi="hr-HR"/>
        </w:rPr>
        <w:lastRenderedPageBreak/>
        <w:t>BDP-a, uz zadržavanje ukupne elastičnosti uvoza u odnosu na konačnu potražnju tek blago iznad jedinične. Pritom će uvoz usluga zabilježiti izraženije usporavanje, većinom kao rezultat nepovoljnog kumuliranog baznog učinka kod domaćih turista u prevladavajućim uvjetima usporavanja rasta zaposlenosti i dohodaka, a uvoz roba će tek blago usporiti u odnosu na ovu godinu.</w:t>
      </w:r>
    </w:p>
    <w:p w14:paraId="0136CAE1" w14:textId="77777777" w:rsidR="007879EE" w:rsidRPr="00FC2F09" w:rsidRDefault="007879EE" w:rsidP="007879EE">
      <w:pPr>
        <w:spacing w:before="240" w:after="120"/>
        <w:contextualSpacing/>
        <w:jc w:val="both"/>
        <w:rPr>
          <w:rFonts w:eastAsia="Calibri" w:cstheme="minorHAnsi"/>
          <w:lang w:val="hr-HR" w:bidi="hr-HR"/>
        </w:rPr>
      </w:pPr>
    </w:p>
    <w:p w14:paraId="2E11CF50" w14:textId="77777777" w:rsidR="007879EE" w:rsidRPr="00FC2F09" w:rsidRDefault="007879EE" w:rsidP="007879EE">
      <w:pPr>
        <w:spacing w:before="240" w:after="120"/>
        <w:contextualSpacing/>
        <w:jc w:val="both"/>
        <w:rPr>
          <w:rFonts w:eastAsia="Calibri" w:cstheme="minorHAnsi"/>
          <w:lang w:val="hr-HR" w:bidi="hr-HR"/>
        </w:rPr>
      </w:pPr>
      <w:r w:rsidRPr="00FC2F09">
        <w:rPr>
          <w:rFonts w:eastAsia="Calibri" w:cstheme="minorHAnsi"/>
          <w:lang w:val="hr-HR" w:bidi="hr-HR"/>
        </w:rPr>
        <w:t>Očekuje se da inflacija potrošačkih cijena nakon trećeg tromjesečja 2025. počne postupno usporavati te na razini cijele 2026. godine iznositi prosječno 2,8%, prvenstveno kao posljedica ublažavanja doprinosa kretanju indeksa potrošačkih cijena od strane temeljne inflacije te, u malo manjoj mjeri, od strane cijena hrane. Naime, kao posljedica „hlađenja“ tržišta rada u 2026. se očekuje relativno izraženo ublažavanje dinamike jediničnih troškova rada, uz daljnje pritiske na dobit privatnog sektora, dok će inflacija proizvođačkih cijena u međunarodnom okruženju potpuno izostati. S druge strane, doprinos rasta cijena energije kretanju ukupnog indeksa potrošačkih cijena ostat će na sličnoj razini, blago pozitivan. Nakon i dalje izražene dinamike u 2025. godini, rast deflatora BDP-a niti u narednoj godini neće zabilježiti naglašeno smanjenje, unatoč usporavanju rasta deflatora državne potrošnje, zbog iščezavanja učinaka rasta plaća u javnom sektoru, kao i slabljenju rasta deflatora investicija, prije svega uslijed postupnog ublažavanja troškovnih pritisaka u građevinskoj djelatnosti. Ovo se tiče očekivanja i dalje pojačane inflacije potrošačkih cijena, kao i ponovnog snaženja pozitivnih učinaka uvjeta razmjene što je rezultat izraženijih domaćih troškovnih pritisaka, ali i same veličine domaćeg uslužnog sektora u kojemu će se ipak zadržati nešto veća inflacija u odnosu na robni sektor.</w:t>
      </w:r>
    </w:p>
    <w:p w14:paraId="7C4B0507" w14:textId="77777777" w:rsidR="007879EE" w:rsidRPr="007879EE" w:rsidRDefault="007879EE" w:rsidP="007879EE">
      <w:pPr>
        <w:spacing w:before="240" w:after="120"/>
        <w:contextualSpacing/>
        <w:jc w:val="both"/>
        <w:rPr>
          <w:rFonts w:ascii="Calibri" w:eastAsia="Calibri" w:hAnsi="Calibri" w:cs="Times New Roman"/>
          <w:lang w:val="hr-HR" w:bidi="hr-HR"/>
        </w:rPr>
      </w:pPr>
    </w:p>
    <w:p w14:paraId="650CE87F" w14:textId="58CC1975" w:rsidR="00D969EE" w:rsidRPr="00D969EE" w:rsidRDefault="006E4108" w:rsidP="00701186">
      <w:pPr>
        <w:spacing w:before="240" w:after="120"/>
        <w:contextualSpacing/>
        <w:jc w:val="both"/>
        <w:rPr>
          <w:rFonts w:ascii="Calibri" w:hAnsi="Calibri"/>
          <w:bCs/>
          <w:i/>
          <w:sz w:val="20"/>
          <w:szCs w:val="20"/>
          <w:lang w:val="hr-HR"/>
        </w:rPr>
      </w:pPr>
      <w:r w:rsidRPr="00D969EE">
        <w:rPr>
          <w:rFonts w:cstheme="minorHAnsi"/>
          <w:i/>
          <w:lang w:val="hr-HR"/>
        </w:rPr>
        <w:t xml:space="preserve">Tablica </w:t>
      </w:r>
      <w:r w:rsidRPr="00D969EE">
        <w:rPr>
          <w:rFonts w:cstheme="minorHAnsi"/>
          <w:i/>
          <w:lang w:val="hr-HR"/>
        </w:rPr>
        <w:fldChar w:fldCharType="begin"/>
      </w:r>
      <w:r w:rsidRPr="00D969EE">
        <w:rPr>
          <w:rFonts w:cstheme="minorHAnsi"/>
          <w:i/>
          <w:lang w:val="hr-HR"/>
        </w:rPr>
        <w:instrText xml:space="preserve"> SEQ Tablica \* ARABIC </w:instrText>
      </w:r>
      <w:r w:rsidRPr="00D969EE">
        <w:rPr>
          <w:rFonts w:cstheme="minorHAnsi"/>
          <w:i/>
          <w:lang w:val="hr-HR"/>
        </w:rPr>
        <w:fldChar w:fldCharType="separate"/>
      </w:r>
      <w:r w:rsidR="004953C0">
        <w:rPr>
          <w:rFonts w:cstheme="minorHAnsi"/>
          <w:i/>
          <w:noProof/>
          <w:lang w:val="hr-HR"/>
        </w:rPr>
        <w:t>4</w:t>
      </w:r>
      <w:r w:rsidRPr="00D969EE">
        <w:rPr>
          <w:rFonts w:cstheme="minorHAnsi"/>
          <w:i/>
          <w:lang w:val="hr-HR"/>
        </w:rPr>
        <w:fldChar w:fldCharType="end"/>
      </w:r>
      <w:r w:rsidRPr="00D969EE">
        <w:rPr>
          <w:rFonts w:cstheme="minorHAnsi"/>
          <w:i/>
          <w:lang w:val="hr-HR"/>
        </w:rPr>
        <w:t>: Kretanje cijena</w:t>
      </w:r>
      <w:bookmarkEnd w:id="6"/>
      <w:r w:rsidR="00ED192B" w:rsidRPr="00D969EE">
        <w:rPr>
          <w:rFonts w:cstheme="minorHAnsi"/>
          <w:i/>
          <w:lang w:val="hr-HR"/>
        </w:rPr>
        <w:tab/>
      </w:r>
      <w:r w:rsidR="007879EE">
        <w:rPr>
          <w:rFonts w:cstheme="minorHAnsi"/>
          <w:i/>
          <w:highlight w:val="yellow"/>
          <w:lang w:val="hr-HR"/>
        </w:rPr>
        <w:br/>
      </w:r>
      <w:r w:rsidR="00D969EE" w:rsidRPr="00D969EE">
        <w:rPr>
          <w:noProof/>
          <w:lang w:val="hr-HR" w:eastAsia="hr-HR"/>
        </w:rPr>
        <w:drawing>
          <wp:inline distT="0" distB="0" distL="0" distR="0" wp14:anchorId="4FE3D7A3" wp14:editId="72D479E1">
            <wp:extent cx="5760720" cy="2064001"/>
            <wp:effectExtent l="0" t="0" r="0" b="0"/>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064001"/>
                    </a:xfrm>
                    <a:prstGeom prst="rect">
                      <a:avLst/>
                    </a:prstGeom>
                    <a:noFill/>
                    <a:ln>
                      <a:noFill/>
                    </a:ln>
                  </pic:spPr>
                </pic:pic>
              </a:graphicData>
            </a:graphic>
          </wp:inline>
        </w:drawing>
      </w:r>
      <w:r w:rsidR="00ED192B" w:rsidRPr="00D969EE">
        <w:rPr>
          <w:rFonts w:cstheme="minorHAnsi"/>
          <w:i/>
          <w:lang w:val="hr-HR"/>
        </w:rPr>
        <w:br/>
      </w:r>
      <w:r w:rsidR="00D969EE" w:rsidRPr="00D969EE">
        <w:rPr>
          <w:rFonts w:ascii="Calibri" w:hAnsi="Calibri"/>
          <w:bCs/>
          <w:i/>
          <w:sz w:val="20"/>
          <w:szCs w:val="20"/>
          <w:lang w:val="hr-HR"/>
        </w:rPr>
        <w:t>Napomena: Podaci za 2024. su preliminarni.</w:t>
      </w:r>
    </w:p>
    <w:p w14:paraId="3B40379D" w14:textId="77777777" w:rsidR="006E4108" w:rsidRPr="00701186" w:rsidRDefault="006E4108" w:rsidP="00701186">
      <w:pPr>
        <w:spacing w:before="240" w:after="120"/>
        <w:contextualSpacing/>
        <w:jc w:val="both"/>
        <w:rPr>
          <w:rFonts w:cstheme="minorHAnsi"/>
          <w:i/>
          <w:lang w:val="hr-HR"/>
        </w:rPr>
      </w:pPr>
      <w:r w:rsidRPr="00D969EE">
        <w:rPr>
          <w:rFonts w:ascii="Calibri" w:hAnsi="Calibri"/>
          <w:bCs/>
          <w:i/>
          <w:sz w:val="20"/>
          <w:szCs w:val="20"/>
          <w:lang w:val="hr-HR"/>
        </w:rPr>
        <w:t>Izvor: DZS, Ministarstvo financija</w:t>
      </w:r>
    </w:p>
    <w:p w14:paraId="29A255F5" w14:textId="77777777" w:rsidR="00003BE9" w:rsidRPr="00FC2F09" w:rsidRDefault="00032306" w:rsidP="00032306">
      <w:pPr>
        <w:spacing w:before="240"/>
        <w:jc w:val="both"/>
        <w:rPr>
          <w:rFonts w:cstheme="minorHAnsi"/>
          <w:lang w:val="hr-HR"/>
        </w:rPr>
      </w:pPr>
      <w:r w:rsidRPr="00032306">
        <w:rPr>
          <w:rFonts w:cstheme="minorHAnsi"/>
          <w:lang w:val="hr-HR"/>
        </w:rPr>
        <w:t>U uvjetima očekivanog stabilnog gospodarskog rasta te blagog jačanja vanjskotrgovinske razmjene u međunarodnom okruženju, u zadnje dvije godine projekcijskog razdoblja hrvatski BDP će nastaviti blago usporavati, uz zatvoren pozitivan proizvodni jaz te pod dominantnim utjecajem dugoročnih proizvodnih trendova. Nastavak rasta i dalje će generirati domaća potražnj</w:t>
      </w:r>
      <w:r w:rsidR="00316FCB">
        <w:rPr>
          <w:rFonts w:cstheme="minorHAnsi"/>
          <w:lang w:val="hr-HR"/>
        </w:rPr>
        <w:t>a</w:t>
      </w:r>
      <w:r w:rsidRPr="00032306">
        <w:rPr>
          <w:rFonts w:cstheme="minorHAnsi"/>
          <w:lang w:val="hr-HR"/>
        </w:rPr>
        <w:t>, poglavito osobna potrošnja, dok će negativan doprinos inozemne potražnje nastaviti blago slabjeti. Tržište rada karakterizirat će usporavajući trendovi pri čemu će rast zaposlenosti biti ograničen</w:t>
      </w:r>
      <w:r w:rsidR="007266F8">
        <w:rPr>
          <w:rFonts w:cstheme="minorHAnsi"/>
          <w:lang w:val="hr-HR"/>
        </w:rPr>
        <w:t>,</w:t>
      </w:r>
      <w:r w:rsidRPr="00032306">
        <w:rPr>
          <w:rFonts w:cstheme="minorHAnsi"/>
          <w:lang w:val="hr-HR"/>
        </w:rPr>
        <w:t xml:space="preserve"> kako sa strane ponude tako i potražnje. Uz stabilan rast produktivnosti te postupno konvergiranje realne dinamike plaća prema njemu, rast jediničnih troškova rada nastavit će slabjeti. Ovakva kretanja utjecat će na postupno smanjenje doprinosa naknada zaposlenika rastu raspoloživog dohotka stanovništva koji će tako nastaviti postupno usporavati u 2027. i 2028., uz manje pozitivne doprinose svojemu rastu od strane socijalnih naknada te nešto izraženije od strane bruto operativnog viška i mješovitih dohodaka </w:t>
      </w:r>
      <w:r w:rsidRPr="00032306">
        <w:rPr>
          <w:rFonts w:cstheme="minorHAnsi"/>
          <w:lang w:val="hr-HR"/>
        </w:rPr>
        <w:lastRenderedPageBreak/>
        <w:t>sektora kućanstava. Uzevši u obzir projicirano kretanje osobne potrošnje, stopa štednje stanovništva mogla bi blago padati u zadnje dvije godine promatranog razdoblja, nakon povećanja u prethodne tri. Rast državne potrošnje nastavit će slabjeti kao odraz fiskalne politike usmjerene ka smanjenju manjka, ali i predviđenog kretanja zapošljavanja u javnom sektoru. Očekuje se da će dinamika investicija privatnog sektora postupno usporavati prema kraju razdoblja</w:t>
      </w:r>
      <w:r w:rsidR="00D52192">
        <w:rPr>
          <w:rFonts w:cstheme="minorHAnsi"/>
          <w:lang w:val="hr-HR"/>
        </w:rPr>
        <w:t>,</w:t>
      </w:r>
      <w:r w:rsidRPr="00032306">
        <w:rPr>
          <w:rFonts w:cstheme="minorHAnsi"/>
          <w:lang w:val="hr-HR"/>
        </w:rPr>
        <w:t xml:space="preserve"> približno kretanju ukupnog ekonomskog rasta, dok će državne investicije ostati ograničene primarno visokim vrijednostima ostvarenim u prethodnim godinama. Izvoz usluga ostvarit će blagi oporavak u zadnje dvije godine projekcijskog razdoblja pod utjecajem nastavka rasta izvoza usluga izuzev putovanja, uz tek neznatne pozitivne realne stope kategorije putovanja. Izvoz roba i dalje će slabjeti, primarno kao odraz domaćih proizvodnih trendova, unatoč blago povoljnijem kretanju globalne trgovinske razmjene, dok će uvoz biti određen kretanjem projiciranje putanje agregatne potražnje, ograničen visokom razinom zastupljenosti u domaćem proizvodu koja će ipak blago slabjeti u 2027. i 2028. godini. Cjenovna kretanja obilježavat će postupno usporavanje rasta potrošačkih cijena prema razini od oko 2%, uz slabljenje domaćih troškovnih pritisaka te stabilno kretanje uvezene inflacije, kao i smanjenje pozitivnih učinaka uvjeta razmjene na rast deflatora BDP-a.</w:t>
      </w:r>
      <w:r w:rsidR="00003BE9" w:rsidRPr="00FC2F09">
        <w:rPr>
          <w:rFonts w:cstheme="minorHAnsi"/>
          <w:lang w:val="hr-HR"/>
        </w:rPr>
        <w:br w:type="page"/>
      </w:r>
    </w:p>
    <w:p w14:paraId="53C85C43" w14:textId="77777777" w:rsidR="000D050A" w:rsidRPr="00B42FFB" w:rsidRDefault="00695821" w:rsidP="000D050A">
      <w:pPr>
        <w:pStyle w:val="Heading1"/>
        <w:numPr>
          <w:ilvl w:val="0"/>
          <w:numId w:val="17"/>
        </w:numPr>
        <w:rPr>
          <w:lang w:val="hr-HR"/>
        </w:rPr>
      </w:pPr>
      <w:bookmarkStart w:id="7" w:name="_Toc213857301"/>
      <w:r w:rsidRPr="00B42FFB">
        <w:rPr>
          <w:lang w:val="hr-HR"/>
        </w:rPr>
        <w:lastRenderedPageBreak/>
        <w:t>PRIHODI DRŽAVNOG PRORAČUNA</w:t>
      </w:r>
      <w:bookmarkEnd w:id="7"/>
      <w:r w:rsidRPr="00B42FFB">
        <w:rPr>
          <w:lang w:val="hr-HR"/>
        </w:rPr>
        <w:t xml:space="preserve"> </w:t>
      </w:r>
      <w:bookmarkStart w:id="8" w:name="_Toc445241791"/>
    </w:p>
    <w:p w14:paraId="48886263" w14:textId="77777777" w:rsidR="000D050A" w:rsidRPr="007879EE" w:rsidRDefault="000D050A" w:rsidP="000D050A">
      <w:pPr>
        <w:rPr>
          <w:highlight w:val="yellow"/>
          <w:lang w:val="hr-HR"/>
        </w:rPr>
      </w:pPr>
    </w:p>
    <w:p w14:paraId="333346F5" w14:textId="6440A599" w:rsidR="00B42FFB" w:rsidRDefault="00B42FFB" w:rsidP="00B42FFB">
      <w:pPr>
        <w:spacing w:before="240"/>
        <w:jc w:val="both"/>
        <w:rPr>
          <w:rFonts w:cstheme="minorHAnsi"/>
          <w:lang w:val="hr-HR"/>
        </w:rPr>
      </w:pPr>
      <w:r w:rsidRPr="007E5DA9">
        <w:rPr>
          <w:rFonts w:cstheme="minorHAnsi"/>
          <w:lang w:val="hr-HR"/>
        </w:rPr>
        <w:t>Kretanj</w:t>
      </w:r>
      <w:r>
        <w:rPr>
          <w:rFonts w:cstheme="minorHAnsi"/>
          <w:lang w:val="hr-HR"/>
        </w:rPr>
        <w:t>e</w:t>
      </w:r>
      <w:r w:rsidRPr="007E5DA9">
        <w:rPr>
          <w:rFonts w:cstheme="minorHAnsi"/>
          <w:lang w:val="hr-HR"/>
        </w:rPr>
        <w:t xml:space="preserve"> prihoda državnog proračuna u razdoblju 202</w:t>
      </w:r>
      <w:r>
        <w:rPr>
          <w:rFonts w:cstheme="minorHAnsi"/>
          <w:lang w:val="hr-HR"/>
        </w:rPr>
        <w:t>6. – 2028. određeno je</w:t>
      </w:r>
      <w:r w:rsidRPr="007E5DA9">
        <w:rPr>
          <w:rFonts w:cstheme="minorHAnsi"/>
          <w:lang w:val="hr-HR"/>
        </w:rPr>
        <w:t xml:space="preserve"> </w:t>
      </w:r>
      <w:r w:rsidRPr="00607FE4">
        <w:rPr>
          <w:rFonts w:ascii="Calibri" w:hAnsi="Calibri" w:cs="Calibri"/>
          <w:color w:val="000000"/>
          <w:shd w:val="clear" w:color="auto" w:fill="FFFFFF"/>
          <w:lang w:val="hr-HR"/>
        </w:rPr>
        <w:t xml:space="preserve">projiciranim kretanjem gospodarske aktivnosti, </w:t>
      </w:r>
      <w:r>
        <w:rPr>
          <w:rFonts w:ascii="Calibri" w:hAnsi="Calibri" w:cs="Calibri"/>
          <w:color w:val="000000"/>
          <w:shd w:val="clear" w:color="auto" w:fill="FFFFFF"/>
          <w:lang w:val="hr-HR"/>
        </w:rPr>
        <w:t xml:space="preserve">uzimajući u obzir </w:t>
      </w:r>
      <w:r w:rsidRPr="008C4A38">
        <w:rPr>
          <w:rFonts w:ascii="Calibri" w:hAnsi="Calibri" w:cs="Calibri"/>
          <w:color w:val="000000"/>
          <w:shd w:val="clear" w:color="auto" w:fill="FFFFFF"/>
          <w:lang w:val="hr-HR"/>
        </w:rPr>
        <w:t>cjelogodišnje učinke porezne reforme iz 2025. te prihode od fondova EU</w:t>
      </w:r>
      <w:r>
        <w:rPr>
          <w:rFonts w:ascii="Calibri" w:hAnsi="Calibri" w:cs="Calibri"/>
          <w:color w:val="000000"/>
          <w:shd w:val="clear" w:color="auto" w:fill="FFFFFF"/>
          <w:lang w:val="hr-HR"/>
        </w:rPr>
        <w:t xml:space="preserve"> što se </w:t>
      </w:r>
      <w:r w:rsidRPr="00607FE4">
        <w:rPr>
          <w:rFonts w:ascii="Calibri" w:hAnsi="Calibri" w:cs="Calibri"/>
          <w:color w:val="000000"/>
          <w:shd w:val="clear" w:color="auto" w:fill="FFFFFF"/>
          <w:lang w:val="hr-HR"/>
        </w:rPr>
        <w:t>ponajprije odnosi na sredstva iz</w:t>
      </w:r>
      <w:r>
        <w:rPr>
          <w:rFonts w:ascii="Calibri" w:hAnsi="Calibri" w:cs="Calibri"/>
          <w:color w:val="000000"/>
          <w:shd w:val="clear" w:color="auto" w:fill="FFFFFF"/>
          <w:lang w:val="hr-HR"/>
        </w:rPr>
        <w:t xml:space="preserve"> V</w:t>
      </w:r>
      <w:r w:rsidRPr="00607FE4">
        <w:rPr>
          <w:rFonts w:ascii="Calibri" w:hAnsi="Calibri" w:cs="Calibri"/>
          <w:color w:val="000000"/>
          <w:shd w:val="clear" w:color="auto" w:fill="FFFFFF"/>
          <w:lang w:val="hr-HR"/>
        </w:rPr>
        <w:t>išegodišnjeg financijskog okvira 2021. – 2027.</w:t>
      </w:r>
      <w:r w:rsidRPr="008C4A38">
        <w:rPr>
          <w:rFonts w:ascii="Calibri" w:hAnsi="Calibri" w:cs="Calibri"/>
          <w:color w:val="000000"/>
          <w:shd w:val="clear" w:color="auto" w:fill="FFFFFF"/>
          <w:lang w:val="hr-HR"/>
        </w:rPr>
        <w:t xml:space="preserve"> kao i iz Mehanizma za oporavak i otpornost</w:t>
      </w:r>
      <w:r>
        <w:rPr>
          <w:rFonts w:cstheme="minorHAnsi"/>
          <w:lang w:val="hr-HR"/>
        </w:rPr>
        <w:t xml:space="preserve">. </w:t>
      </w:r>
    </w:p>
    <w:p w14:paraId="5135FA6C" w14:textId="77777777" w:rsidR="00B42FFB" w:rsidRDefault="00B42FFB" w:rsidP="00B42FFB">
      <w:pPr>
        <w:jc w:val="both"/>
        <w:rPr>
          <w:rFonts w:cstheme="minorHAnsi"/>
          <w:lang w:val="hr-HR"/>
        </w:rPr>
      </w:pPr>
      <w:r w:rsidRPr="00917C35">
        <w:rPr>
          <w:rFonts w:cstheme="minorHAnsi"/>
          <w:lang w:val="hr-HR"/>
        </w:rPr>
        <w:t>Uzevši u obzir navedeno, u 202</w:t>
      </w:r>
      <w:r>
        <w:rPr>
          <w:rFonts w:cstheme="minorHAnsi"/>
          <w:lang w:val="hr-HR"/>
        </w:rPr>
        <w:t>6</w:t>
      </w:r>
      <w:r w:rsidRPr="00917C35">
        <w:rPr>
          <w:rFonts w:cstheme="minorHAnsi"/>
          <w:lang w:val="hr-HR"/>
        </w:rPr>
        <w:t xml:space="preserve">. godini ukupni prihodi državnog proračuna planirani su u iznosu od </w:t>
      </w:r>
      <w:r w:rsidRPr="009B1FF1">
        <w:rPr>
          <w:rFonts w:cstheme="minorHAnsi"/>
          <w:lang w:val="hr-HR"/>
        </w:rPr>
        <w:t>35,7 milijardi</w:t>
      </w:r>
      <w:r w:rsidRPr="00917C35">
        <w:rPr>
          <w:rFonts w:cstheme="minorHAnsi"/>
          <w:lang w:val="hr-HR"/>
        </w:rPr>
        <w:t xml:space="preserve"> eura, dok su za 202</w:t>
      </w:r>
      <w:r>
        <w:rPr>
          <w:rFonts w:cstheme="minorHAnsi"/>
          <w:lang w:val="hr-HR"/>
        </w:rPr>
        <w:t>7</w:t>
      </w:r>
      <w:r w:rsidRPr="00917C35">
        <w:rPr>
          <w:rFonts w:cstheme="minorHAnsi"/>
          <w:lang w:val="hr-HR"/>
        </w:rPr>
        <w:t xml:space="preserve">. projicirani u iznosu </w:t>
      </w:r>
      <w:r w:rsidRPr="009B1FF1">
        <w:rPr>
          <w:rFonts w:cstheme="minorHAnsi"/>
          <w:lang w:val="hr-HR"/>
        </w:rPr>
        <w:t>od 35,8 milijardi eura, a za 2028. u iznosu od 36,6 milijardi eura.</w:t>
      </w:r>
      <w:r>
        <w:rPr>
          <w:rFonts w:cstheme="minorHAnsi"/>
          <w:lang w:val="hr-HR"/>
        </w:rPr>
        <w:t xml:space="preserve"> </w:t>
      </w:r>
    </w:p>
    <w:p w14:paraId="1ED4DDC6" w14:textId="77777777" w:rsidR="00821326" w:rsidRPr="00B42FFB" w:rsidRDefault="00821326" w:rsidP="00821326">
      <w:pPr>
        <w:spacing w:before="240"/>
        <w:jc w:val="both"/>
        <w:rPr>
          <w:rFonts w:cs="Times New Roman"/>
          <w:b/>
          <w:i/>
          <w:lang w:val="hr-HR"/>
        </w:rPr>
      </w:pPr>
      <w:r w:rsidRPr="00B42FFB">
        <w:rPr>
          <w:rFonts w:cs="Times New Roman"/>
          <w:b/>
          <w:i/>
          <w:lang w:val="hr-HR"/>
        </w:rPr>
        <w:t>Porezni prihodi</w:t>
      </w:r>
    </w:p>
    <w:p w14:paraId="674CB4EB" w14:textId="77777777" w:rsidR="00B42FFB" w:rsidRDefault="00B42FFB" w:rsidP="00B42FFB">
      <w:pPr>
        <w:spacing w:before="240" w:after="120"/>
        <w:jc w:val="both"/>
        <w:rPr>
          <w:rFonts w:eastAsia="Calibri" w:cstheme="minorHAnsi"/>
          <w:lang w:val="hr-HR"/>
        </w:rPr>
      </w:pPr>
      <w:bookmarkStart w:id="9" w:name="_Toc119810575"/>
      <w:bookmarkStart w:id="10" w:name="_Toc119828134"/>
      <w:bookmarkStart w:id="11" w:name="_Toc119810574"/>
      <w:bookmarkStart w:id="12" w:name="_Toc119828133"/>
      <w:r>
        <w:rPr>
          <w:rFonts w:eastAsia="Calibri" w:cstheme="minorHAnsi"/>
          <w:lang w:val="hr-HR"/>
        </w:rPr>
        <w:t>P</w:t>
      </w:r>
      <w:r w:rsidRPr="007E5DA9">
        <w:rPr>
          <w:rFonts w:eastAsia="Calibri" w:cstheme="minorHAnsi"/>
          <w:lang w:val="hr-HR"/>
        </w:rPr>
        <w:t xml:space="preserve">orezni </w:t>
      </w:r>
      <w:r w:rsidRPr="002F08E8">
        <w:rPr>
          <w:rFonts w:eastAsia="Calibri" w:cstheme="minorHAnsi"/>
          <w:lang w:val="hr-HR"/>
        </w:rPr>
        <w:t>prihodi u 202</w:t>
      </w:r>
      <w:r>
        <w:rPr>
          <w:rFonts w:eastAsia="Calibri" w:cstheme="minorHAnsi"/>
          <w:lang w:val="hr-HR"/>
        </w:rPr>
        <w:t>6</w:t>
      </w:r>
      <w:r w:rsidRPr="002F08E8">
        <w:rPr>
          <w:rFonts w:eastAsia="Calibri" w:cstheme="minorHAnsi"/>
          <w:lang w:val="hr-HR"/>
        </w:rPr>
        <w:t>. godini p</w:t>
      </w:r>
      <w:r>
        <w:rPr>
          <w:rFonts w:eastAsia="Calibri" w:cstheme="minorHAnsi"/>
          <w:lang w:val="hr-HR"/>
        </w:rPr>
        <w:t>lanirani</w:t>
      </w:r>
      <w:r w:rsidRPr="002F08E8">
        <w:rPr>
          <w:rFonts w:eastAsia="Calibri" w:cstheme="minorHAnsi"/>
          <w:lang w:val="hr-HR"/>
        </w:rPr>
        <w:t xml:space="preserve"> su u iznosu </w:t>
      </w:r>
      <w:r w:rsidRPr="008C0EE8">
        <w:rPr>
          <w:rFonts w:eastAsia="Calibri" w:cstheme="minorHAnsi"/>
          <w:lang w:val="hr-HR"/>
        </w:rPr>
        <w:t>od 19,1 milijardi eura</w:t>
      </w:r>
      <w:r>
        <w:rPr>
          <w:rFonts w:eastAsia="Calibri" w:cstheme="minorHAnsi"/>
          <w:lang w:val="hr-HR"/>
        </w:rPr>
        <w:t xml:space="preserve">, što je 5,5% više u odnosu na </w:t>
      </w:r>
      <w:r w:rsidRPr="008C0EE8">
        <w:rPr>
          <w:rFonts w:eastAsia="Calibri" w:cstheme="minorHAnsi"/>
          <w:lang w:val="hr-HR"/>
        </w:rPr>
        <w:t>prethodnu godinu. U narednim godinama, očekuje se njihov daljnji rast pa su tako u 2027. projicirani u iznosu od 20 milijardi eura, odnosno uz međugodišnji rast od 4,8%, dok se u 2028. godini očekuju u iznosu od 20,8 milijardi eura i bilježe rast od 3,9%.</w:t>
      </w:r>
      <w:r w:rsidRPr="002F08E8">
        <w:rPr>
          <w:rFonts w:eastAsia="Calibri" w:cstheme="minorHAnsi"/>
          <w:lang w:val="hr-HR"/>
        </w:rPr>
        <w:t xml:space="preserve"> </w:t>
      </w:r>
    </w:p>
    <w:p w14:paraId="04C579DC" w14:textId="77777777" w:rsidR="00821326" w:rsidRPr="00B42FFB" w:rsidRDefault="00821326" w:rsidP="00821326">
      <w:pPr>
        <w:spacing w:before="240" w:after="120"/>
        <w:jc w:val="both"/>
        <w:rPr>
          <w:rFonts w:cstheme="minorHAnsi"/>
          <w:b/>
          <w:i/>
          <w:lang w:val="hr-HR"/>
        </w:rPr>
      </w:pPr>
      <w:r w:rsidRPr="00B42FFB">
        <w:rPr>
          <w:rFonts w:cstheme="minorHAnsi"/>
          <w:b/>
          <w:i/>
          <w:lang w:val="hr-HR"/>
        </w:rPr>
        <w:t>Porez na dobit</w:t>
      </w:r>
      <w:bookmarkEnd w:id="9"/>
      <w:bookmarkEnd w:id="10"/>
    </w:p>
    <w:p w14:paraId="26E0A246" w14:textId="77777777" w:rsidR="00B42FFB" w:rsidRPr="007E5DA9" w:rsidRDefault="00B42FFB" w:rsidP="00B42FFB">
      <w:pPr>
        <w:spacing w:before="240"/>
        <w:jc w:val="both"/>
        <w:rPr>
          <w:rFonts w:eastAsia="Calibri" w:cstheme="minorHAnsi"/>
          <w:lang w:val="hr-HR"/>
        </w:rPr>
      </w:pPr>
      <w:bookmarkStart w:id="13" w:name="_Toc119810577"/>
      <w:bookmarkStart w:id="14" w:name="_Toc119828136"/>
      <w:r w:rsidRPr="007E5DA9">
        <w:rPr>
          <w:rFonts w:eastAsia="Calibri" w:cstheme="minorHAnsi"/>
          <w:lang w:val="hr-HR"/>
        </w:rPr>
        <w:t xml:space="preserve">Porez na dobit u tekućoj godini plaća se na temelju poslovanja poduzetnika prethodne godine. Plan </w:t>
      </w:r>
      <w:r w:rsidRPr="00BB3F39">
        <w:rPr>
          <w:rFonts w:eastAsia="Calibri" w:cstheme="minorHAnsi"/>
          <w:lang w:val="hr-HR"/>
        </w:rPr>
        <w:t>kretanja prihoda od poreza na dobit za 202</w:t>
      </w:r>
      <w:r>
        <w:rPr>
          <w:rFonts w:eastAsia="Calibri" w:cstheme="minorHAnsi"/>
          <w:lang w:val="hr-HR"/>
        </w:rPr>
        <w:t>6</w:t>
      </w:r>
      <w:r w:rsidRPr="00BB3F39">
        <w:rPr>
          <w:rFonts w:eastAsia="Calibri" w:cstheme="minorHAnsi"/>
          <w:lang w:val="hr-HR"/>
        </w:rPr>
        <w:t>. te projekcije za 202</w:t>
      </w:r>
      <w:r>
        <w:rPr>
          <w:rFonts w:eastAsia="Calibri" w:cstheme="minorHAnsi"/>
          <w:lang w:val="hr-HR"/>
        </w:rPr>
        <w:t>7</w:t>
      </w:r>
      <w:r w:rsidRPr="00BB3F39">
        <w:rPr>
          <w:rFonts w:eastAsia="Calibri" w:cstheme="minorHAnsi"/>
          <w:lang w:val="hr-HR"/>
        </w:rPr>
        <w:t>. i 202</w:t>
      </w:r>
      <w:r>
        <w:rPr>
          <w:rFonts w:eastAsia="Calibri" w:cstheme="minorHAnsi"/>
          <w:lang w:val="hr-HR"/>
        </w:rPr>
        <w:t>8</w:t>
      </w:r>
      <w:r w:rsidRPr="00BB3F39">
        <w:rPr>
          <w:rFonts w:eastAsia="Calibri" w:cstheme="minorHAnsi"/>
          <w:lang w:val="hr-HR"/>
        </w:rPr>
        <w:t xml:space="preserve">. godinu rađene su temeljem </w:t>
      </w:r>
      <w:r>
        <w:rPr>
          <w:rFonts w:eastAsia="Calibri" w:cstheme="minorHAnsi"/>
          <w:lang w:val="hr-HR"/>
        </w:rPr>
        <w:t>predviđenog kretanja bruto operativnog viška poduzeća</w:t>
      </w:r>
      <w:r w:rsidRPr="00BB3F39">
        <w:rPr>
          <w:rFonts w:eastAsia="Calibri" w:cstheme="minorHAnsi"/>
          <w:lang w:val="hr-HR"/>
        </w:rPr>
        <w:t>.</w:t>
      </w:r>
      <w:r w:rsidRPr="00BB3F39">
        <w:t xml:space="preserve"> </w:t>
      </w:r>
      <w:r w:rsidRPr="00BB3F39">
        <w:rPr>
          <w:rFonts w:eastAsia="Calibri" w:cstheme="minorHAnsi"/>
          <w:lang w:val="hr-HR"/>
        </w:rPr>
        <w:t xml:space="preserve">Prihod od poreza na </w:t>
      </w:r>
      <w:r w:rsidRPr="003E20BE">
        <w:rPr>
          <w:rFonts w:eastAsia="Calibri" w:cstheme="minorHAnsi"/>
          <w:lang w:val="hr-HR"/>
        </w:rPr>
        <w:t>dobit za 202</w:t>
      </w:r>
      <w:r>
        <w:rPr>
          <w:rFonts w:eastAsia="Calibri" w:cstheme="minorHAnsi"/>
          <w:lang w:val="hr-HR"/>
        </w:rPr>
        <w:t>6</w:t>
      </w:r>
      <w:r w:rsidRPr="003E20BE">
        <w:rPr>
          <w:rFonts w:eastAsia="Calibri" w:cstheme="minorHAnsi"/>
          <w:lang w:val="hr-HR"/>
        </w:rPr>
        <w:t xml:space="preserve">. planiran je u iznosu </w:t>
      </w:r>
      <w:r w:rsidRPr="006032D7">
        <w:rPr>
          <w:rFonts w:eastAsia="Calibri" w:cstheme="minorHAnsi"/>
          <w:lang w:val="hr-HR"/>
        </w:rPr>
        <w:t xml:space="preserve">od 2,7 milijardi eura, dok je u 2027. i 2028. godini projiciran u iznosu od 2,8 odnosno 2,9 </w:t>
      </w:r>
      <w:r w:rsidRPr="003E20BE">
        <w:rPr>
          <w:rFonts w:eastAsia="Calibri" w:cstheme="minorHAnsi"/>
          <w:lang w:val="hr-HR"/>
        </w:rPr>
        <w:t>milijard</w:t>
      </w:r>
      <w:r>
        <w:rPr>
          <w:rFonts w:eastAsia="Calibri" w:cstheme="minorHAnsi"/>
          <w:lang w:val="hr-HR"/>
        </w:rPr>
        <w:t>i</w:t>
      </w:r>
      <w:r w:rsidRPr="003E20BE">
        <w:rPr>
          <w:rFonts w:eastAsia="Calibri" w:cstheme="minorHAnsi"/>
          <w:lang w:val="hr-HR"/>
        </w:rPr>
        <w:t xml:space="preserve"> eura.</w:t>
      </w:r>
      <w:r>
        <w:rPr>
          <w:rFonts w:eastAsia="Calibri" w:cstheme="minorHAnsi"/>
          <w:lang w:val="hr-HR"/>
        </w:rPr>
        <w:t xml:space="preserve"> </w:t>
      </w:r>
    </w:p>
    <w:p w14:paraId="12BE177F" w14:textId="77777777" w:rsidR="00821326" w:rsidRPr="00B42FFB" w:rsidRDefault="00821326" w:rsidP="00821326">
      <w:pPr>
        <w:spacing w:before="240" w:after="120"/>
        <w:jc w:val="both"/>
        <w:rPr>
          <w:rFonts w:cstheme="minorHAnsi"/>
          <w:b/>
          <w:i/>
          <w:lang w:val="hr-HR"/>
        </w:rPr>
      </w:pPr>
      <w:r w:rsidRPr="00B42FFB">
        <w:rPr>
          <w:rFonts w:cstheme="minorHAnsi"/>
          <w:b/>
          <w:i/>
          <w:lang w:val="hr-HR"/>
        </w:rPr>
        <w:t>Porez na dodanu vrijednost</w:t>
      </w:r>
      <w:bookmarkEnd w:id="13"/>
      <w:bookmarkEnd w:id="14"/>
    </w:p>
    <w:p w14:paraId="2198223B" w14:textId="77777777" w:rsidR="00821326" w:rsidRPr="00B42FFB" w:rsidRDefault="00B42FFB" w:rsidP="00821326">
      <w:pPr>
        <w:spacing w:before="240" w:after="120"/>
        <w:jc w:val="both"/>
        <w:rPr>
          <w:rFonts w:eastAsia="Calibri" w:cstheme="minorHAnsi"/>
          <w:lang w:val="hr-HR"/>
        </w:rPr>
      </w:pPr>
      <w:bookmarkStart w:id="15" w:name="_Toc119810581"/>
      <w:bookmarkStart w:id="16" w:name="_Toc119828140"/>
      <w:r w:rsidRPr="007E5DA9">
        <w:rPr>
          <w:rFonts w:eastAsia="Calibri" w:cstheme="minorHAnsi"/>
          <w:lang w:val="hr-HR"/>
        </w:rPr>
        <w:t>Projekcija prihoda od poreza na dodanu vrijednost temeljena je na makroekonomsk</w:t>
      </w:r>
      <w:r>
        <w:rPr>
          <w:rFonts w:eastAsia="Calibri" w:cstheme="minorHAnsi"/>
          <w:lang w:val="hr-HR"/>
        </w:rPr>
        <w:t>oj osnovici utvrđenoj prema rastu</w:t>
      </w:r>
      <w:r w:rsidRPr="007E5DA9">
        <w:rPr>
          <w:rFonts w:eastAsia="Calibri" w:cstheme="minorHAnsi"/>
          <w:lang w:val="hr-HR"/>
        </w:rPr>
        <w:t xml:space="preserve"> osobne potrošnje, turističkih usluga, </w:t>
      </w:r>
      <w:r>
        <w:rPr>
          <w:rFonts w:eastAsia="Calibri" w:cstheme="minorHAnsi"/>
          <w:lang w:val="hr-HR"/>
        </w:rPr>
        <w:t>intermedijarne</w:t>
      </w:r>
      <w:r w:rsidRPr="00614B54">
        <w:rPr>
          <w:rFonts w:eastAsia="Calibri" w:cstheme="minorHAnsi"/>
          <w:lang w:val="hr-HR"/>
        </w:rPr>
        <w:t xml:space="preserve"> potrošnj</w:t>
      </w:r>
      <w:r>
        <w:rPr>
          <w:rFonts w:eastAsia="Calibri" w:cstheme="minorHAnsi"/>
          <w:lang w:val="hr-HR"/>
        </w:rPr>
        <w:t>e</w:t>
      </w:r>
      <w:r w:rsidRPr="00614B54">
        <w:rPr>
          <w:rFonts w:eastAsia="Calibri" w:cstheme="minorHAnsi"/>
          <w:lang w:val="hr-HR"/>
        </w:rPr>
        <w:t>, investicij</w:t>
      </w:r>
      <w:r>
        <w:rPr>
          <w:rFonts w:eastAsia="Calibri" w:cstheme="minorHAnsi"/>
          <w:lang w:val="hr-HR"/>
        </w:rPr>
        <w:t>a</w:t>
      </w:r>
      <w:r w:rsidRPr="00614B54">
        <w:rPr>
          <w:rFonts w:eastAsia="Calibri" w:cstheme="minorHAnsi"/>
          <w:lang w:val="hr-HR"/>
        </w:rPr>
        <w:t xml:space="preserve"> te </w:t>
      </w:r>
      <w:r w:rsidRPr="001B291B">
        <w:rPr>
          <w:rFonts w:eastAsia="Calibri" w:cstheme="minorHAnsi"/>
          <w:lang w:val="hr-HR"/>
        </w:rPr>
        <w:t>socijalnih transfera u naravi.</w:t>
      </w:r>
      <w:r w:rsidRPr="001B291B">
        <w:rPr>
          <w:rFonts w:ascii="Calibri" w:hAnsi="Calibri" w:cs="Calibri"/>
          <w:lang w:val="hr-HR"/>
        </w:rPr>
        <w:t xml:space="preserve"> </w:t>
      </w:r>
      <w:r w:rsidRPr="001B291B">
        <w:rPr>
          <w:rFonts w:eastAsia="Calibri" w:cstheme="minorHAnsi"/>
          <w:lang w:val="hr-HR"/>
        </w:rPr>
        <w:t>Tako se u 2026. prihod od poreza na dodanu vrijednost planira ostvariti u iznosu od 12,9 milijardi eura, u 2027. u iznosu od 13,7 milijardi eura, a u 2028. godini u iznosu od 14,3 milijarde eura.</w:t>
      </w:r>
      <w:r w:rsidRPr="007E5DA9">
        <w:rPr>
          <w:rFonts w:eastAsia="Calibri" w:cstheme="minorHAnsi"/>
          <w:lang w:val="hr-HR"/>
        </w:rPr>
        <w:t xml:space="preserve"> </w:t>
      </w:r>
    </w:p>
    <w:p w14:paraId="6465E2A9" w14:textId="77777777" w:rsidR="00821326" w:rsidRPr="00B42FFB" w:rsidRDefault="00821326" w:rsidP="00821326">
      <w:pPr>
        <w:spacing w:before="240" w:after="120"/>
        <w:jc w:val="both"/>
        <w:rPr>
          <w:rFonts w:cstheme="minorHAnsi"/>
          <w:b/>
          <w:i/>
          <w:lang w:val="hr-HR"/>
        </w:rPr>
      </w:pPr>
      <w:r w:rsidRPr="00B42FFB">
        <w:rPr>
          <w:rFonts w:cstheme="minorHAnsi"/>
          <w:b/>
          <w:i/>
          <w:lang w:val="hr-HR"/>
        </w:rPr>
        <w:t>Posebni porezi i trošarine</w:t>
      </w:r>
      <w:bookmarkEnd w:id="15"/>
      <w:bookmarkEnd w:id="16"/>
    </w:p>
    <w:p w14:paraId="33B55432" w14:textId="77777777" w:rsidR="00B42FFB" w:rsidRPr="007E5DA9" w:rsidRDefault="00B42FFB" w:rsidP="00B42FFB">
      <w:pPr>
        <w:suppressAutoHyphens/>
        <w:spacing w:before="240"/>
        <w:jc w:val="both"/>
        <w:textAlignment w:val="baseline"/>
        <w:rPr>
          <w:rFonts w:eastAsia="Calibri" w:cstheme="minorHAnsi"/>
          <w:lang w:val="hr-HR"/>
        </w:rPr>
      </w:pPr>
      <w:bookmarkStart w:id="17" w:name="_Toc119810579"/>
      <w:bookmarkStart w:id="18" w:name="_Toc119828138"/>
      <w:bookmarkStart w:id="19" w:name="_Toc119810582"/>
      <w:bookmarkStart w:id="20" w:name="_Toc119828141"/>
      <w:r w:rsidRPr="007E5DA9">
        <w:rPr>
          <w:rFonts w:eastAsia="Calibri" w:cstheme="minorHAnsi"/>
          <w:lang w:val="hr-HR"/>
        </w:rPr>
        <w:t xml:space="preserve">Prihod od </w:t>
      </w:r>
      <w:r w:rsidRPr="00532A2D">
        <w:rPr>
          <w:rFonts w:eastAsia="Calibri" w:cstheme="minorHAnsi"/>
          <w:lang w:val="hr-HR"/>
        </w:rPr>
        <w:t xml:space="preserve">posebnih poreza i trošarina projiciran je na temelju </w:t>
      </w:r>
      <w:r w:rsidRPr="00532A2D">
        <w:rPr>
          <w:rFonts w:ascii="Calibri" w:hAnsi="Calibri" w:cs="Calibri"/>
          <w:shd w:val="clear" w:color="auto" w:fill="FFFFFF"/>
          <w:lang w:val="hr-HR"/>
        </w:rPr>
        <w:t xml:space="preserve">očekivanog intenziteta prometa i potrošnje trošarinskih proizvoda, </w:t>
      </w:r>
      <w:r w:rsidRPr="00532A2D">
        <w:rPr>
          <w:rFonts w:ascii="Calibri" w:hAnsi="Calibri" w:cs="Calibri"/>
          <w:lang w:val="hr-HR"/>
        </w:rPr>
        <w:t xml:space="preserve">a uključuje i cjelogodišnji učinak povećanja trošarina na duhan i duhanske proizvode. </w:t>
      </w:r>
      <w:r w:rsidRPr="00532A2D">
        <w:rPr>
          <w:rFonts w:eastAsia="Calibri" w:cstheme="minorHAnsi"/>
          <w:lang w:val="hr-HR"/>
        </w:rPr>
        <w:t>Tako se u 2026. i 2027. očekuje 3,2 milijarde eura po osnovi ovog prihoda, dok će u 2028. godini iznositi 3,3 milijarde eura.</w:t>
      </w:r>
      <w:r>
        <w:rPr>
          <w:rFonts w:eastAsia="Calibri" w:cstheme="minorHAnsi"/>
          <w:lang w:val="hr-HR"/>
        </w:rPr>
        <w:t xml:space="preserve"> </w:t>
      </w:r>
    </w:p>
    <w:p w14:paraId="4E6BE418" w14:textId="77777777" w:rsidR="00821326" w:rsidRPr="00B42FFB" w:rsidRDefault="00821326" w:rsidP="00821326">
      <w:pPr>
        <w:spacing w:before="240" w:after="120"/>
        <w:jc w:val="both"/>
        <w:rPr>
          <w:rFonts w:cstheme="minorHAnsi"/>
          <w:b/>
          <w:i/>
          <w:lang w:val="hr-HR"/>
        </w:rPr>
      </w:pPr>
      <w:r w:rsidRPr="00B42FFB">
        <w:rPr>
          <w:rFonts w:cstheme="minorHAnsi"/>
          <w:b/>
          <w:i/>
          <w:lang w:val="hr-HR"/>
        </w:rPr>
        <w:t>Ostali porezi na robu i usluge</w:t>
      </w:r>
    </w:p>
    <w:bookmarkEnd w:id="17"/>
    <w:bookmarkEnd w:id="18"/>
    <w:p w14:paraId="1C1A5612" w14:textId="77777777" w:rsidR="00B42FFB" w:rsidRPr="007E5DA9" w:rsidRDefault="00B42FFB" w:rsidP="00B42FFB">
      <w:pPr>
        <w:spacing w:before="240" w:after="120"/>
        <w:jc w:val="both"/>
        <w:rPr>
          <w:rFonts w:eastAsia="Calibri" w:cstheme="minorHAnsi"/>
          <w:lang w:val="hr-HR"/>
        </w:rPr>
      </w:pPr>
      <w:r w:rsidRPr="00DB3E05">
        <w:rPr>
          <w:rFonts w:eastAsia="Calibri" w:cstheme="minorHAnsi"/>
          <w:lang w:val="hr-HR"/>
        </w:rPr>
        <w:t xml:space="preserve">Prihodi od ostalih </w:t>
      </w:r>
      <w:r w:rsidRPr="00DB2653">
        <w:rPr>
          <w:rFonts w:eastAsia="Calibri" w:cstheme="minorHAnsi"/>
          <w:lang w:val="hr-HR"/>
        </w:rPr>
        <w:t>poreza na robu i usluge u 2026. planirani su u iznosu od 111,9 milijuna eura, dok procjene za 2027. iznose 117,6 milijuna eura, odnosno 123,9 milijuna eura za 2028.</w:t>
      </w:r>
      <w:r w:rsidRPr="00DB3E05">
        <w:rPr>
          <w:rFonts w:eastAsia="Calibri" w:cstheme="minorHAnsi"/>
          <w:lang w:val="hr-HR"/>
        </w:rPr>
        <w:t xml:space="preserve"> godinu. Ovu skupinu poreznih prihoda čine prihodi od poreza na osiguranj</w:t>
      </w:r>
      <w:r>
        <w:rPr>
          <w:rFonts w:eastAsia="Calibri" w:cstheme="minorHAnsi"/>
          <w:lang w:val="hr-HR"/>
        </w:rPr>
        <w:t>e</w:t>
      </w:r>
      <w:r w:rsidRPr="00DB3E05">
        <w:rPr>
          <w:rFonts w:eastAsia="Calibri" w:cstheme="minorHAnsi"/>
          <w:lang w:val="hr-HR"/>
        </w:rPr>
        <w:t xml:space="preserve"> od automobilske odgovornosti i kasko osiguranja.</w:t>
      </w:r>
    </w:p>
    <w:p w14:paraId="3964B2DA" w14:textId="77777777" w:rsidR="00821326" w:rsidRPr="00B42FFB" w:rsidRDefault="00821326" w:rsidP="00821326">
      <w:pPr>
        <w:spacing w:before="240" w:after="120"/>
        <w:jc w:val="both"/>
        <w:rPr>
          <w:rFonts w:cstheme="minorHAnsi"/>
          <w:b/>
          <w:i/>
          <w:lang w:val="hr-HR"/>
        </w:rPr>
      </w:pPr>
      <w:r w:rsidRPr="00B42FFB">
        <w:rPr>
          <w:rFonts w:cstheme="minorHAnsi"/>
          <w:b/>
          <w:i/>
          <w:lang w:val="hr-HR"/>
        </w:rPr>
        <w:lastRenderedPageBreak/>
        <w:t>Porez na dobitke od igara na sreću i ostali porezi od igara na sreću te naknade za priređivanje igara na sreću</w:t>
      </w:r>
    </w:p>
    <w:p w14:paraId="672E2584" w14:textId="77777777" w:rsidR="00B42FFB" w:rsidRDefault="00B42FFB" w:rsidP="00B42FFB">
      <w:pPr>
        <w:spacing w:before="240" w:after="120"/>
        <w:jc w:val="both"/>
        <w:rPr>
          <w:rFonts w:eastAsia="Calibri" w:cstheme="minorHAnsi"/>
          <w:lang w:val="hr-HR"/>
        </w:rPr>
      </w:pPr>
      <w:r w:rsidRPr="0052620A">
        <w:rPr>
          <w:rFonts w:eastAsia="Calibri" w:cstheme="minorHAnsi"/>
          <w:lang w:val="hr-HR"/>
        </w:rPr>
        <w:t>Prihodi od poreza na dobitke od igara na sreću i ostali porezi od igara na sreću projicirani su temeljem dinamike kretanja u proteklim godinama te se sličan trend očekuje i nadalje. Tako su u 2026. planirani u iznosu od 78,5 milijuna eura, a u 2027. i 2028. godini u iznosu od 81,3 milijuna eura, odnosno 84,5 milijuna eura.</w:t>
      </w:r>
      <w:r w:rsidRPr="00E8007F">
        <w:rPr>
          <w:rFonts w:eastAsia="Calibri" w:cstheme="minorHAnsi"/>
          <w:lang w:val="hr-HR"/>
        </w:rPr>
        <w:t xml:space="preserve"> </w:t>
      </w:r>
    </w:p>
    <w:p w14:paraId="70622E5D" w14:textId="77777777" w:rsidR="00821326" w:rsidRPr="00B42FFB" w:rsidRDefault="00821326" w:rsidP="00821326">
      <w:pPr>
        <w:spacing w:before="240" w:after="120"/>
        <w:jc w:val="both"/>
        <w:rPr>
          <w:rFonts w:cstheme="minorHAnsi"/>
          <w:b/>
          <w:i/>
          <w:lang w:val="hr-HR"/>
        </w:rPr>
      </w:pPr>
      <w:r w:rsidRPr="00B42FFB">
        <w:rPr>
          <w:rFonts w:cstheme="minorHAnsi"/>
          <w:b/>
          <w:i/>
          <w:lang w:val="hr-HR"/>
        </w:rPr>
        <w:t>Porez na međunarodn</w:t>
      </w:r>
      <w:bookmarkEnd w:id="19"/>
      <w:bookmarkEnd w:id="20"/>
      <w:r w:rsidRPr="00B42FFB">
        <w:rPr>
          <w:rFonts w:cstheme="minorHAnsi"/>
          <w:b/>
          <w:i/>
          <w:lang w:val="hr-HR"/>
        </w:rPr>
        <w:t>u trgovinu i transakcije</w:t>
      </w:r>
    </w:p>
    <w:p w14:paraId="019997D5" w14:textId="77777777" w:rsidR="00B42FFB" w:rsidRDefault="00B42FFB" w:rsidP="00B42FFB">
      <w:pPr>
        <w:spacing w:before="240" w:after="120"/>
        <w:jc w:val="both"/>
        <w:rPr>
          <w:rFonts w:eastAsia="Calibri" w:cstheme="minorHAnsi"/>
          <w:lang w:val="hr-HR"/>
        </w:rPr>
      </w:pPr>
      <w:r w:rsidRPr="00773CA6">
        <w:rPr>
          <w:rFonts w:eastAsia="Calibri" w:cstheme="minorHAnsi"/>
          <w:lang w:val="hr-HR"/>
        </w:rPr>
        <w:t>Prihod od poreza na međunarodnu trgovinu i transakcije u 2026. planiran je u iznosu od 96 milijuna eura. Projekcija ovog prihoda za 2027. iznosi 96,8 milijuna eura, a za 2028. godinu 97,1 milijun</w:t>
      </w:r>
      <w:r>
        <w:rPr>
          <w:rFonts w:eastAsia="Calibri" w:cstheme="minorHAnsi"/>
          <w:lang w:val="hr-HR"/>
        </w:rPr>
        <w:t xml:space="preserve"> eura.</w:t>
      </w:r>
    </w:p>
    <w:p w14:paraId="7C62652C" w14:textId="77777777" w:rsidR="00821326" w:rsidRPr="00B42FFB" w:rsidRDefault="00821326" w:rsidP="00821326">
      <w:pPr>
        <w:spacing w:before="240" w:after="120"/>
        <w:jc w:val="both"/>
        <w:rPr>
          <w:rFonts w:cstheme="minorHAnsi"/>
          <w:b/>
          <w:i/>
          <w:lang w:val="hr-HR"/>
        </w:rPr>
      </w:pPr>
      <w:r w:rsidRPr="00B42FFB">
        <w:rPr>
          <w:rFonts w:cstheme="minorHAnsi"/>
          <w:b/>
          <w:i/>
          <w:lang w:val="hr-HR"/>
        </w:rPr>
        <w:t>Doprinosi</w:t>
      </w:r>
    </w:p>
    <w:p w14:paraId="65D03BEC" w14:textId="77777777" w:rsidR="00B42FFB" w:rsidRDefault="00B42FFB" w:rsidP="00B42FFB">
      <w:pPr>
        <w:spacing w:before="240" w:after="120"/>
        <w:jc w:val="both"/>
        <w:rPr>
          <w:rFonts w:eastAsia="Calibri" w:cstheme="minorHAnsi"/>
          <w:lang w:val="hr-HR"/>
        </w:rPr>
      </w:pPr>
      <w:bookmarkStart w:id="21" w:name="_Toc119810585"/>
      <w:bookmarkStart w:id="22" w:name="_Toc119828144"/>
      <w:r w:rsidRPr="00254570">
        <w:rPr>
          <w:rFonts w:eastAsia="Calibri" w:cstheme="minorHAnsi"/>
          <w:lang w:val="hr-HR"/>
        </w:rPr>
        <w:t xml:space="preserve">Projekcije prihoda po osnovi doprinosa za razdoblje 2026. - 2028. temeljene su na očekivanom kretanju rasta nominalnih bruto plaća i zaposlenosti </w:t>
      </w:r>
      <w:r w:rsidRPr="00254570">
        <w:rPr>
          <w:rFonts w:ascii="Calibri" w:hAnsi="Calibri" w:cs="Calibri"/>
          <w:shd w:val="clear" w:color="auto" w:fill="FFFFFF"/>
          <w:lang w:val="hr-HR"/>
        </w:rPr>
        <w:t>te učinku ukidanja oslobađanja od plaćanja zdravstvenog doprinosa za mlade</w:t>
      </w:r>
      <w:r w:rsidRPr="00254570">
        <w:rPr>
          <w:rFonts w:eastAsia="Calibri" w:cstheme="minorHAnsi"/>
          <w:lang w:val="hr-HR"/>
        </w:rPr>
        <w:t>. U 2026. godini u državni proračun planira se prikupiti 6,3 milijarde eura prihoda od doprinosa za mirovinsko osiguranje, dok projekcija za 2027. iznosi 6,6 milijardi eura, a za 2028. godinu 6,9 milijardi eura.</w:t>
      </w:r>
      <w:r w:rsidRPr="007E5DA9">
        <w:rPr>
          <w:rFonts w:eastAsia="Calibri" w:cstheme="minorHAnsi"/>
          <w:lang w:val="hr-HR"/>
        </w:rPr>
        <w:t xml:space="preserve"> </w:t>
      </w:r>
    </w:p>
    <w:p w14:paraId="0097CA8B" w14:textId="77777777" w:rsidR="00821326" w:rsidRPr="00B42FFB" w:rsidRDefault="00821326" w:rsidP="00821326">
      <w:pPr>
        <w:spacing w:before="240" w:after="120"/>
        <w:jc w:val="both"/>
        <w:rPr>
          <w:rFonts w:cstheme="minorHAnsi"/>
          <w:b/>
          <w:i/>
          <w:lang w:val="hr-HR"/>
        </w:rPr>
      </w:pPr>
      <w:r w:rsidRPr="00B42FFB">
        <w:rPr>
          <w:rFonts w:cstheme="minorHAnsi"/>
          <w:b/>
          <w:i/>
          <w:lang w:val="hr-HR"/>
        </w:rPr>
        <w:t>Prihodi od pomoći</w:t>
      </w:r>
      <w:bookmarkEnd w:id="21"/>
      <w:bookmarkEnd w:id="22"/>
      <w:r w:rsidRPr="00B42FFB">
        <w:rPr>
          <w:rFonts w:cstheme="minorHAnsi"/>
          <w:b/>
          <w:i/>
          <w:lang w:val="hr-HR"/>
        </w:rPr>
        <w:t xml:space="preserve"> </w:t>
      </w:r>
    </w:p>
    <w:p w14:paraId="5A41E8FF" w14:textId="02FD01D3" w:rsidR="00B42FFB" w:rsidRDefault="00B42FFB" w:rsidP="00B42FFB">
      <w:pPr>
        <w:spacing w:before="240"/>
        <w:jc w:val="both"/>
        <w:rPr>
          <w:rFonts w:eastAsia="Calibri" w:cstheme="minorHAnsi"/>
          <w:lang w:val="hr-HR"/>
        </w:rPr>
      </w:pPr>
      <w:r w:rsidRPr="007E5DA9">
        <w:rPr>
          <w:rFonts w:eastAsia="Calibri" w:cstheme="minorHAnsi"/>
          <w:lang w:val="hr-HR"/>
        </w:rPr>
        <w:t>Prihodi od pomoći najvećim dijelom odnose se na prihode vezane uz projekte financirane iz EU proračuna</w:t>
      </w:r>
      <w:r>
        <w:rPr>
          <w:rFonts w:eastAsia="Calibri" w:cstheme="minorHAnsi"/>
          <w:lang w:val="hr-HR"/>
        </w:rPr>
        <w:t xml:space="preserve">. Tako su u </w:t>
      </w:r>
      <w:r w:rsidRPr="009521B0">
        <w:rPr>
          <w:rFonts w:eastAsia="Calibri" w:cstheme="minorHAnsi"/>
          <w:lang w:val="hr-HR"/>
        </w:rPr>
        <w:t>2026. prihodi od pomoći planirani u iznosu od 4,7 milijardi eura, a u 2027. i 2028. godini u iznosu od 3,4 odnosno 2,9 milijardi eura. U</w:t>
      </w:r>
      <w:r>
        <w:rPr>
          <w:rFonts w:eastAsia="Calibri" w:cstheme="minorHAnsi"/>
          <w:lang w:val="hr-HR"/>
        </w:rPr>
        <w:t xml:space="preserve"> promatranom razdoblju očekuje se intenziviranje provedbe projekata </w:t>
      </w:r>
      <w:r w:rsidRPr="00AA045F">
        <w:rPr>
          <w:rFonts w:eastAsia="Calibri" w:cstheme="minorHAnsi"/>
          <w:lang w:val="hr-HR"/>
        </w:rPr>
        <w:t>iz Višegodišnjeg financijskog okvira 2021. – 2027</w:t>
      </w:r>
      <w:r>
        <w:rPr>
          <w:rFonts w:eastAsia="Calibri" w:cstheme="minorHAnsi"/>
          <w:lang w:val="hr-HR"/>
        </w:rPr>
        <w:t>. kao i ubrzanje provedbe iz Nacionalnog plana</w:t>
      </w:r>
      <w:r w:rsidRPr="00AA045F">
        <w:rPr>
          <w:rFonts w:eastAsia="Calibri" w:cstheme="minorHAnsi"/>
          <w:lang w:val="hr-HR"/>
        </w:rPr>
        <w:t xml:space="preserve"> za </w:t>
      </w:r>
      <w:r>
        <w:rPr>
          <w:rFonts w:eastAsia="Calibri" w:cstheme="minorHAnsi"/>
          <w:lang w:val="hr-HR"/>
        </w:rPr>
        <w:t xml:space="preserve">oporavak i otpornost s obzirom da se </w:t>
      </w:r>
      <w:r w:rsidR="00943636">
        <w:rPr>
          <w:rFonts w:eastAsia="Calibri" w:cstheme="minorHAnsi"/>
          <w:lang w:val="hr-HR"/>
        </w:rPr>
        <w:t xml:space="preserve">pokazatelji </w:t>
      </w:r>
      <w:r>
        <w:rPr>
          <w:rFonts w:eastAsia="Calibri" w:cstheme="minorHAnsi"/>
          <w:lang w:val="hr-HR"/>
        </w:rPr>
        <w:t xml:space="preserve"> reform</w:t>
      </w:r>
      <w:r w:rsidR="00943636">
        <w:rPr>
          <w:rFonts w:eastAsia="Calibri" w:cstheme="minorHAnsi"/>
          <w:lang w:val="hr-HR"/>
        </w:rPr>
        <w:t>i</w:t>
      </w:r>
      <w:r>
        <w:rPr>
          <w:rFonts w:eastAsia="Calibri" w:cstheme="minorHAnsi"/>
          <w:lang w:val="hr-HR"/>
        </w:rPr>
        <w:t xml:space="preserve"> i investicij</w:t>
      </w:r>
      <w:r w:rsidR="00943636">
        <w:rPr>
          <w:rFonts w:eastAsia="Calibri" w:cstheme="minorHAnsi"/>
          <w:lang w:val="hr-HR"/>
        </w:rPr>
        <w:t>a</w:t>
      </w:r>
      <w:r>
        <w:rPr>
          <w:rFonts w:eastAsia="Calibri" w:cstheme="minorHAnsi"/>
          <w:lang w:val="hr-HR"/>
        </w:rPr>
        <w:t xml:space="preserve"> moraju dovršiti do 31. kolovoza 2026.</w:t>
      </w:r>
    </w:p>
    <w:p w14:paraId="2D9468D0" w14:textId="77777777" w:rsidR="00821326" w:rsidRPr="00B42FFB" w:rsidRDefault="00821326" w:rsidP="00821326">
      <w:pPr>
        <w:spacing w:before="240" w:after="120"/>
        <w:jc w:val="both"/>
        <w:rPr>
          <w:rFonts w:cstheme="minorHAnsi"/>
          <w:b/>
          <w:i/>
          <w:lang w:val="hr-HR"/>
        </w:rPr>
      </w:pPr>
      <w:r w:rsidRPr="00B42FFB">
        <w:rPr>
          <w:rFonts w:cstheme="minorHAnsi"/>
          <w:b/>
          <w:i/>
          <w:lang w:val="hr-HR"/>
        </w:rPr>
        <w:t>Prihodi od imovine</w:t>
      </w:r>
    </w:p>
    <w:p w14:paraId="3185C144" w14:textId="77777777" w:rsidR="00B42FFB" w:rsidRPr="007E5DA9" w:rsidRDefault="00B42FFB" w:rsidP="00B42FFB">
      <w:pPr>
        <w:spacing w:before="240" w:after="120"/>
        <w:jc w:val="both"/>
        <w:rPr>
          <w:rFonts w:eastAsia="Calibri" w:cstheme="minorHAnsi"/>
          <w:lang w:val="hr-HR"/>
        </w:rPr>
      </w:pPr>
      <w:bookmarkStart w:id="23" w:name="_Toc119810587"/>
      <w:bookmarkStart w:id="24" w:name="_Toc119828146"/>
      <w:r w:rsidRPr="009521B0">
        <w:rPr>
          <w:rFonts w:eastAsia="Calibri" w:cstheme="minorHAnsi"/>
          <w:lang w:val="hr-HR"/>
        </w:rPr>
        <w:t>Prihodi od imovine u 2026. planirani su u iznosu od 526,4 milijuna eura, a 2027. i 2028. u iznosu od 530,1 milijun eura odnosno 542,3 milijuna eura</w:t>
      </w:r>
      <w:r w:rsidRPr="00B61D78">
        <w:rPr>
          <w:rFonts w:eastAsia="Calibri" w:cstheme="minorHAnsi"/>
          <w:lang w:val="hr-HR"/>
        </w:rPr>
        <w:t>. Sastoje se od prihoda od kamata, prihoda od dobiti trgovačkih društava, kreditnih i ostalih financijskih institucija po posebnim propisima, prihoda od dividendi, koncesija, iznajmljivanja i zakupa imovine t</w:t>
      </w:r>
      <w:r w:rsidRPr="007E5DA9">
        <w:rPr>
          <w:rFonts w:eastAsia="Calibri" w:cstheme="minorHAnsi"/>
          <w:lang w:val="hr-HR"/>
        </w:rPr>
        <w:t xml:space="preserve">e ostalih prihoda od imovine. </w:t>
      </w:r>
      <w:r>
        <w:rPr>
          <w:rFonts w:eastAsia="Calibri" w:cstheme="minorHAnsi"/>
          <w:lang w:val="hr-HR"/>
        </w:rPr>
        <w:t xml:space="preserve">Dijelom se </w:t>
      </w:r>
      <w:r w:rsidRPr="007E5DA9">
        <w:rPr>
          <w:rFonts w:eastAsia="Calibri" w:cstheme="minorHAnsi"/>
          <w:lang w:val="hr-HR"/>
        </w:rPr>
        <w:t>prikupljaju na redovnoj bazi, a dijelom kao jednokratni prihodi</w:t>
      </w:r>
      <w:r>
        <w:rPr>
          <w:rFonts w:eastAsia="Calibri" w:cstheme="minorHAnsi"/>
          <w:lang w:val="hr-HR"/>
        </w:rPr>
        <w:t xml:space="preserve"> državnog proračuna</w:t>
      </w:r>
      <w:r w:rsidRPr="007E5DA9">
        <w:rPr>
          <w:rFonts w:eastAsia="Calibri" w:cstheme="minorHAnsi"/>
          <w:lang w:val="hr-HR"/>
        </w:rPr>
        <w:t xml:space="preserve">. </w:t>
      </w:r>
      <w:r w:rsidRPr="00EA3AA8">
        <w:rPr>
          <w:rFonts w:eastAsia="Calibri" w:cstheme="minorHAnsi"/>
          <w:lang w:val="hr-HR"/>
        </w:rPr>
        <w:t>Najveće stavke čine prihodi od dobiti i dividendi</w:t>
      </w:r>
      <w:r>
        <w:rPr>
          <w:rFonts w:eastAsia="Calibri" w:cstheme="minorHAnsi"/>
          <w:lang w:val="hr-HR"/>
        </w:rPr>
        <w:t xml:space="preserve"> </w:t>
      </w:r>
      <w:r w:rsidRPr="007E5DA9">
        <w:rPr>
          <w:rFonts w:eastAsia="Calibri" w:cstheme="minorHAnsi"/>
          <w:lang w:val="hr-HR"/>
        </w:rPr>
        <w:t xml:space="preserve">trgovačkih društava, </w:t>
      </w:r>
      <w:r w:rsidRPr="00B61D78">
        <w:rPr>
          <w:rFonts w:eastAsia="Calibri" w:cstheme="minorHAnsi"/>
          <w:lang w:val="hr-HR"/>
        </w:rPr>
        <w:t>kreditnih i ostalih financijskih institucija, koji su u 202</w:t>
      </w:r>
      <w:r>
        <w:rPr>
          <w:rFonts w:eastAsia="Calibri" w:cstheme="minorHAnsi"/>
          <w:lang w:val="hr-HR"/>
        </w:rPr>
        <w:t>6</w:t>
      </w:r>
      <w:r w:rsidRPr="00B61D78">
        <w:rPr>
          <w:rFonts w:eastAsia="Calibri" w:cstheme="minorHAnsi"/>
          <w:lang w:val="hr-HR"/>
        </w:rPr>
        <w:t xml:space="preserve">. planirani u </w:t>
      </w:r>
      <w:r w:rsidRPr="009521B0">
        <w:rPr>
          <w:rFonts w:eastAsia="Calibri" w:cstheme="minorHAnsi"/>
          <w:lang w:val="hr-HR"/>
        </w:rPr>
        <w:t>iznosu od 243,1 milijun eura</w:t>
      </w:r>
      <w:r w:rsidRPr="00B61D78">
        <w:rPr>
          <w:rFonts w:eastAsia="Calibri" w:cstheme="minorHAnsi"/>
          <w:lang w:val="hr-HR"/>
        </w:rPr>
        <w:t>, a u 202</w:t>
      </w:r>
      <w:r>
        <w:rPr>
          <w:rFonts w:eastAsia="Calibri" w:cstheme="minorHAnsi"/>
          <w:lang w:val="hr-HR"/>
        </w:rPr>
        <w:t>7</w:t>
      </w:r>
      <w:r w:rsidRPr="00B61D78">
        <w:rPr>
          <w:rFonts w:eastAsia="Calibri" w:cstheme="minorHAnsi"/>
          <w:lang w:val="hr-HR"/>
        </w:rPr>
        <w:t>. i 202</w:t>
      </w:r>
      <w:r>
        <w:rPr>
          <w:rFonts w:eastAsia="Calibri" w:cstheme="minorHAnsi"/>
          <w:lang w:val="hr-HR"/>
        </w:rPr>
        <w:t>8</w:t>
      </w:r>
      <w:r w:rsidRPr="00B61D78">
        <w:rPr>
          <w:rFonts w:eastAsia="Calibri" w:cstheme="minorHAnsi"/>
          <w:lang w:val="hr-HR"/>
        </w:rPr>
        <w:t xml:space="preserve">. u </w:t>
      </w:r>
      <w:r w:rsidRPr="009521B0">
        <w:rPr>
          <w:rFonts w:eastAsia="Calibri" w:cstheme="minorHAnsi"/>
          <w:lang w:val="hr-HR"/>
        </w:rPr>
        <w:t xml:space="preserve">iznosu od 255,4 odnosno 267 </w:t>
      </w:r>
      <w:r w:rsidRPr="00B61D78">
        <w:rPr>
          <w:rFonts w:eastAsia="Calibri" w:cstheme="minorHAnsi"/>
          <w:lang w:val="hr-HR"/>
        </w:rPr>
        <w:t>milijun</w:t>
      </w:r>
      <w:r>
        <w:rPr>
          <w:rFonts w:eastAsia="Calibri" w:cstheme="minorHAnsi"/>
          <w:lang w:val="hr-HR"/>
        </w:rPr>
        <w:t>a</w:t>
      </w:r>
      <w:r w:rsidRPr="00B61D78">
        <w:rPr>
          <w:rFonts w:eastAsia="Calibri" w:cstheme="minorHAnsi"/>
          <w:lang w:val="hr-HR"/>
        </w:rPr>
        <w:t xml:space="preserve"> eura.</w:t>
      </w:r>
      <w:r w:rsidRPr="007E5DA9">
        <w:rPr>
          <w:rFonts w:eastAsia="Calibri" w:cstheme="minorHAnsi"/>
          <w:lang w:val="hr-HR"/>
        </w:rPr>
        <w:t xml:space="preserve"> </w:t>
      </w:r>
    </w:p>
    <w:p w14:paraId="73540F0A" w14:textId="77777777" w:rsidR="00821326" w:rsidRPr="00B42FFB" w:rsidRDefault="00821326" w:rsidP="00821326">
      <w:pPr>
        <w:spacing w:before="240" w:after="120"/>
        <w:jc w:val="both"/>
        <w:rPr>
          <w:rFonts w:cstheme="minorHAnsi"/>
          <w:b/>
          <w:i/>
          <w:lang w:val="hr-HR"/>
        </w:rPr>
      </w:pPr>
      <w:r w:rsidRPr="00B42FFB">
        <w:rPr>
          <w:rFonts w:cstheme="minorHAnsi"/>
          <w:b/>
          <w:i/>
          <w:lang w:val="hr-HR"/>
        </w:rPr>
        <w:t>Prihodi od upravnih i administrativnih pristojbi, pristojbi po posebnim propisima i naknada</w:t>
      </w:r>
    </w:p>
    <w:p w14:paraId="7AD1DB74" w14:textId="77777777" w:rsidR="00B42FFB" w:rsidRDefault="00B42FFB" w:rsidP="00B42FFB">
      <w:pPr>
        <w:spacing w:before="240" w:after="120"/>
        <w:jc w:val="both"/>
        <w:rPr>
          <w:rFonts w:eastAsia="Calibri" w:cstheme="minorHAnsi"/>
          <w:lang w:val="hr-HR"/>
        </w:rPr>
      </w:pPr>
      <w:bookmarkStart w:id="25" w:name="_Toc119828148"/>
      <w:bookmarkEnd w:id="23"/>
      <w:bookmarkEnd w:id="24"/>
      <w:r w:rsidRPr="007E5DA9">
        <w:rPr>
          <w:rFonts w:eastAsia="Calibri" w:cstheme="minorHAnsi"/>
          <w:lang w:val="hr-HR"/>
        </w:rPr>
        <w:t>Prihodi po osnovi upravnih i a</w:t>
      </w:r>
      <w:r>
        <w:rPr>
          <w:rFonts w:eastAsia="Calibri" w:cstheme="minorHAnsi"/>
          <w:lang w:val="hr-HR"/>
        </w:rPr>
        <w:t xml:space="preserve">dministrativnih pristojbi, </w:t>
      </w:r>
      <w:r w:rsidRPr="00EA3AA8">
        <w:rPr>
          <w:rFonts w:eastAsia="Calibri" w:cstheme="minorHAnsi"/>
          <w:lang w:val="hr-HR"/>
        </w:rPr>
        <w:t>pristojbi po posebnim propisima i naknada te prihodi od priređivanja igara na sreću</w:t>
      </w:r>
      <w:r>
        <w:rPr>
          <w:rFonts w:eastAsia="Calibri" w:cstheme="minorHAnsi"/>
          <w:lang w:val="hr-HR"/>
        </w:rPr>
        <w:t xml:space="preserve"> u </w:t>
      </w:r>
      <w:r w:rsidRPr="00FF3B5E">
        <w:rPr>
          <w:rFonts w:eastAsia="Calibri" w:cstheme="minorHAnsi"/>
          <w:lang w:val="hr-HR"/>
        </w:rPr>
        <w:t>razdoblju 2026.-2028. planirani su u iznosu od 1,3 milijarde</w:t>
      </w:r>
      <w:r w:rsidRPr="00EA3AA8">
        <w:rPr>
          <w:rFonts w:eastAsia="Calibri" w:cstheme="minorHAnsi"/>
          <w:lang w:val="hr-HR"/>
        </w:rPr>
        <w:t xml:space="preserve"> </w:t>
      </w:r>
      <w:r w:rsidRPr="00FF3B5E">
        <w:rPr>
          <w:rFonts w:eastAsia="Calibri" w:cstheme="minorHAnsi"/>
          <w:lang w:val="hr-HR"/>
        </w:rPr>
        <w:t>eura za sve tri projekcijske godine. Pritom prihodi od upravnih i administrativnih pristojbi bilježe iznose od 196,1 milijuna eura u 2026., 201,2 milijuna eura u 2027. i 206,5 milijuna</w:t>
      </w:r>
      <w:r>
        <w:rPr>
          <w:rFonts w:eastAsia="Calibri" w:cstheme="minorHAnsi"/>
          <w:lang w:val="hr-HR"/>
        </w:rPr>
        <w:t xml:space="preserve"> eura u 2028. godini. </w:t>
      </w:r>
      <w:r w:rsidRPr="00C80FA9">
        <w:rPr>
          <w:rFonts w:eastAsia="Calibri" w:cstheme="minorHAnsi"/>
          <w:lang w:val="hr-HR"/>
        </w:rPr>
        <w:lastRenderedPageBreak/>
        <w:t>Istodobno, prihodi po posebnim propisima, koji su u najvećoj mjeri namjenski prihodi proračunskih korisnika, bilježit će razinu od 820 milijuna eura u 2026., 813 milijuna eura u 2027. te 826,9 milijuna eura u 2028. godini.</w:t>
      </w:r>
    </w:p>
    <w:p w14:paraId="5FDCF5D6" w14:textId="77777777" w:rsidR="00B42FFB" w:rsidRPr="007E5DA9" w:rsidRDefault="00B42FFB" w:rsidP="00B42FFB">
      <w:pPr>
        <w:spacing w:before="240" w:after="120"/>
        <w:jc w:val="both"/>
        <w:rPr>
          <w:rFonts w:eastAsia="Calibri" w:cstheme="minorHAnsi"/>
          <w:lang w:val="hr-HR"/>
        </w:rPr>
      </w:pPr>
      <w:r w:rsidRPr="00484868">
        <w:rPr>
          <w:rFonts w:eastAsia="Calibri" w:cstheme="minorHAnsi"/>
          <w:lang w:val="hr-HR"/>
        </w:rPr>
        <w:t>Prihodi od naknada za priređivanje igara na sreću planiraju se u iznosu od 285,2 milijuna eura u 2026. odnosno u iznosu od 291,7 milijuna eura i 298,4 milijuna eura u 2027. i 2028. godini.</w:t>
      </w:r>
      <w:r w:rsidRPr="007E5DA9">
        <w:rPr>
          <w:rFonts w:eastAsia="Calibri" w:cstheme="minorHAnsi"/>
          <w:lang w:val="hr-HR"/>
        </w:rPr>
        <w:t xml:space="preserve">     </w:t>
      </w:r>
    </w:p>
    <w:p w14:paraId="3AD006F5" w14:textId="77777777" w:rsidR="00821326" w:rsidRPr="00B42FFB" w:rsidRDefault="00821326" w:rsidP="00821326">
      <w:pPr>
        <w:spacing w:before="240" w:after="120"/>
        <w:jc w:val="both"/>
        <w:rPr>
          <w:rFonts w:cstheme="minorHAnsi"/>
          <w:b/>
          <w:i/>
          <w:lang w:val="hr-HR"/>
        </w:rPr>
      </w:pPr>
      <w:r w:rsidRPr="00B42FFB">
        <w:rPr>
          <w:rFonts w:cstheme="minorHAnsi"/>
          <w:b/>
          <w:i/>
          <w:lang w:val="hr-HR"/>
        </w:rPr>
        <w:t>Prihodi od prodaje proizvoda i roba te pruženih usluga i prihodi od donacija</w:t>
      </w:r>
    </w:p>
    <w:p w14:paraId="59A7B447" w14:textId="77777777" w:rsidR="00B42FFB" w:rsidRPr="007E5DA9" w:rsidRDefault="00B42FFB" w:rsidP="00B42FFB">
      <w:pPr>
        <w:spacing w:before="240" w:after="120"/>
        <w:jc w:val="both"/>
        <w:rPr>
          <w:rFonts w:eastAsia="Calibri" w:cstheme="minorHAnsi"/>
          <w:lang w:val="hr-HR"/>
        </w:rPr>
      </w:pPr>
      <w:r w:rsidRPr="007E5DA9">
        <w:rPr>
          <w:rFonts w:eastAsia="Calibri" w:cstheme="minorHAnsi"/>
          <w:lang w:val="hr-HR"/>
        </w:rPr>
        <w:t xml:space="preserve">Prihode od prodaje proizvoda i roba te pruženih usluga, koji su u cijelosti namjenski </w:t>
      </w:r>
      <w:r w:rsidRPr="00D83109">
        <w:rPr>
          <w:rFonts w:eastAsia="Calibri" w:cstheme="minorHAnsi"/>
          <w:lang w:val="hr-HR"/>
        </w:rPr>
        <w:t xml:space="preserve">prihodi, kao i prihode od donacija planiraju proračunski korisnici. Za 2026. godinu planirani su u iznosu od </w:t>
      </w:r>
      <w:r w:rsidR="00D83109" w:rsidRPr="00D83109">
        <w:rPr>
          <w:rFonts w:eastAsia="Calibri" w:cstheme="minorHAnsi"/>
          <w:lang w:val="hr-HR"/>
        </w:rPr>
        <w:t>245,1</w:t>
      </w:r>
      <w:r w:rsidRPr="00D83109">
        <w:rPr>
          <w:rFonts w:eastAsia="Calibri" w:cstheme="minorHAnsi"/>
          <w:lang w:val="hr-HR"/>
        </w:rPr>
        <w:t xml:space="preserve"> </w:t>
      </w:r>
      <w:r w:rsidRPr="00381A64">
        <w:rPr>
          <w:rFonts w:eastAsia="Calibri" w:cstheme="minorHAnsi"/>
          <w:lang w:val="hr-HR"/>
        </w:rPr>
        <w:t>milijuna eura, a u 202</w:t>
      </w:r>
      <w:r>
        <w:rPr>
          <w:rFonts w:eastAsia="Calibri" w:cstheme="minorHAnsi"/>
          <w:lang w:val="hr-HR"/>
        </w:rPr>
        <w:t>7</w:t>
      </w:r>
      <w:r w:rsidRPr="00381A64">
        <w:rPr>
          <w:rFonts w:eastAsia="Calibri" w:cstheme="minorHAnsi"/>
          <w:lang w:val="hr-HR"/>
        </w:rPr>
        <w:t>. i 202</w:t>
      </w:r>
      <w:r>
        <w:rPr>
          <w:rFonts w:eastAsia="Calibri" w:cstheme="minorHAnsi"/>
          <w:lang w:val="hr-HR"/>
        </w:rPr>
        <w:t>8</w:t>
      </w:r>
      <w:r w:rsidRPr="00381A64">
        <w:rPr>
          <w:rFonts w:eastAsia="Calibri" w:cstheme="minorHAnsi"/>
          <w:lang w:val="hr-HR"/>
        </w:rPr>
        <w:t>. godin</w:t>
      </w:r>
      <w:r>
        <w:rPr>
          <w:rFonts w:eastAsia="Calibri" w:cstheme="minorHAnsi"/>
          <w:lang w:val="hr-HR"/>
        </w:rPr>
        <w:t>i</w:t>
      </w:r>
      <w:r w:rsidRPr="00381A64">
        <w:rPr>
          <w:rFonts w:eastAsia="Calibri" w:cstheme="minorHAnsi"/>
          <w:lang w:val="hr-HR"/>
        </w:rPr>
        <w:t xml:space="preserve"> projicirani su na razini od </w:t>
      </w:r>
      <w:r w:rsidR="00D83109">
        <w:rPr>
          <w:rFonts w:eastAsia="Calibri" w:cstheme="minorHAnsi"/>
          <w:lang w:val="hr-HR"/>
        </w:rPr>
        <w:t>242,6</w:t>
      </w:r>
      <w:r w:rsidRPr="00381A64">
        <w:rPr>
          <w:rFonts w:eastAsia="Calibri" w:cstheme="minorHAnsi"/>
          <w:lang w:val="hr-HR"/>
        </w:rPr>
        <w:t xml:space="preserve">, </w:t>
      </w:r>
      <w:r w:rsidRPr="00D83109">
        <w:rPr>
          <w:rFonts w:eastAsia="Calibri" w:cstheme="minorHAnsi"/>
          <w:lang w:val="hr-HR"/>
        </w:rPr>
        <w:t>odnosno 245</w:t>
      </w:r>
      <w:r w:rsidR="00D83109" w:rsidRPr="00D83109">
        <w:rPr>
          <w:rFonts w:eastAsia="Calibri" w:cstheme="minorHAnsi"/>
          <w:lang w:val="hr-HR"/>
        </w:rPr>
        <w:t>,4</w:t>
      </w:r>
      <w:r w:rsidRPr="00D83109">
        <w:rPr>
          <w:rFonts w:eastAsia="Calibri" w:cstheme="minorHAnsi"/>
          <w:lang w:val="hr-HR"/>
        </w:rPr>
        <w:t xml:space="preserve"> milijuna</w:t>
      </w:r>
      <w:r w:rsidRPr="00381A64">
        <w:rPr>
          <w:rFonts w:eastAsia="Calibri" w:cstheme="minorHAnsi"/>
          <w:lang w:val="hr-HR"/>
        </w:rPr>
        <w:t xml:space="preserve"> eura.</w:t>
      </w:r>
    </w:p>
    <w:p w14:paraId="11BBE861" w14:textId="77777777" w:rsidR="00821326" w:rsidRPr="00B42FFB" w:rsidRDefault="00821326" w:rsidP="00821326">
      <w:pPr>
        <w:spacing w:before="240" w:after="120"/>
        <w:jc w:val="both"/>
        <w:rPr>
          <w:rFonts w:cstheme="minorHAnsi"/>
          <w:b/>
          <w:i/>
          <w:lang w:val="hr-HR"/>
        </w:rPr>
      </w:pPr>
      <w:r w:rsidRPr="00B42FFB">
        <w:rPr>
          <w:rFonts w:cstheme="minorHAnsi"/>
          <w:b/>
          <w:i/>
          <w:lang w:val="hr-HR"/>
        </w:rPr>
        <w:t>Prihodi iz nadležnog proračuna i od HZZO-a temeljem ugovornih obveza</w:t>
      </w:r>
    </w:p>
    <w:bookmarkEnd w:id="25"/>
    <w:p w14:paraId="70CE89E2" w14:textId="77777777" w:rsidR="00B42FFB" w:rsidRPr="007E5DA9" w:rsidRDefault="00B42FFB" w:rsidP="00B42FFB">
      <w:pPr>
        <w:spacing w:before="240"/>
        <w:jc w:val="both"/>
        <w:rPr>
          <w:rFonts w:eastAsia="Calibri" w:cstheme="minorHAnsi"/>
          <w:lang w:val="hr-HR"/>
        </w:rPr>
      </w:pPr>
      <w:r w:rsidRPr="009B675B">
        <w:rPr>
          <w:rFonts w:eastAsia="Calibri" w:cstheme="minorHAnsi"/>
          <w:lang w:val="hr-HR"/>
        </w:rPr>
        <w:t>Prihodi iz nadležnog proračuna i od Hrvatskog zavoda za zdravstveno osiguranje temeljem ugovornih obveza odnose se na ustanove u zdravstvu u državnom vlasništvu, a koji će se u 2026. kretati u iznosu od 3,3 milijarde eura, u 2027. u iznosu od 3,4 milijarde eura, a u 2028. u iznosu od 3,6 milijardi eura.</w:t>
      </w:r>
    </w:p>
    <w:p w14:paraId="3E8C893B" w14:textId="77777777" w:rsidR="00821326" w:rsidRPr="00B42FFB" w:rsidRDefault="00821326" w:rsidP="00821326">
      <w:pPr>
        <w:spacing w:before="240" w:after="120"/>
        <w:jc w:val="both"/>
        <w:rPr>
          <w:rFonts w:cstheme="minorHAnsi"/>
          <w:b/>
          <w:i/>
          <w:lang w:val="hr-HR"/>
        </w:rPr>
      </w:pPr>
      <w:r w:rsidRPr="00B42FFB">
        <w:rPr>
          <w:rFonts w:cstheme="minorHAnsi"/>
          <w:b/>
          <w:i/>
          <w:lang w:val="hr-HR"/>
        </w:rPr>
        <w:t>Kazne, upravne mjere i ostali prihodi</w:t>
      </w:r>
    </w:p>
    <w:p w14:paraId="30796617" w14:textId="77777777" w:rsidR="00B42FFB" w:rsidRDefault="00B42FFB" w:rsidP="00B42FFB">
      <w:pPr>
        <w:spacing w:before="240" w:after="120"/>
        <w:jc w:val="both"/>
        <w:rPr>
          <w:rFonts w:eastAsia="Calibri" w:cstheme="minorHAnsi"/>
          <w:lang w:val="hr-HR"/>
        </w:rPr>
      </w:pPr>
      <w:r w:rsidRPr="0041625F">
        <w:rPr>
          <w:rFonts w:eastAsia="Calibri" w:cstheme="minorHAnsi"/>
          <w:lang w:val="hr-HR"/>
        </w:rPr>
        <w:t>Prihodi od kazni i upravnih mjera najvećim dijelom ostvaruju se po osnovi kazni za prometne, carinske i porezne prekršaje, kazne i druge mjere u kaznenom postupku. U 2026. godini planirani su u iznosu od 189,9 milijuna eura, što je 10,2% više na godišnjoj razini prvenstveno zbog planiranih većih kazni radi osiguranja sigurnosti na cestama. Projekcije ove kategorije prihoda za 2027. iznose 199,6 milijuna eura, a za 2028. godinu 208,1 milijun eura.</w:t>
      </w:r>
      <w:r w:rsidRPr="007E5DA9">
        <w:rPr>
          <w:rFonts w:eastAsia="Calibri" w:cstheme="minorHAnsi"/>
          <w:lang w:val="hr-HR"/>
        </w:rPr>
        <w:t xml:space="preserve"> </w:t>
      </w:r>
    </w:p>
    <w:p w14:paraId="3C4E4909" w14:textId="77777777" w:rsidR="00821326" w:rsidRPr="00B42FFB" w:rsidRDefault="00821326" w:rsidP="00821326">
      <w:pPr>
        <w:tabs>
          <w:tab w:val="left" w:pos="7560"/>
        </w:tabs>
        <w:spacing w:before="240" w:after="120"/>
        <w:jc w:val="both"/>
        <w:rPr>
          <w:rFonts w:cstheme="minorHAnsi"/>
          <w:b/>
          <w:lang w:val="hr-HR"/>
        </w:rPr>
      </w:pPr>
      <w:r w:rsidRPr="00B42FFB">
        <w:rPr>
          <w:rFonts w:cstheme="minorHAnsi"/>
          <w:b/>
          <w:lang w:val="hr-HR"/>
        </w:rPr>
        <w:t>Prihodi od prodaje nefinancijske imovine</w:t>
      </w:r>
    </w:p>
    <w:bookmarkEnd w:id="11"/>
    <w:bookmarkEnd w:id="12"/>
    <w:p w14:paraId="2254BF74" w14:textId="77777777" w:rsidR="00B42FFB" w:rsidRPr="007E5DA9" w:rsidRDefault="00B42FFB" w:rsidP="00B42FFB">
      <w:pPr>
        <w:spacing w:before="240" w:after="120"/>
        <w:jc w:val="both"/>
        <w:rPr>
          <w:rFonts w:eastAsia="Calibri" w:cstheme="minorHAnsi"/>
          <w:lang w:val="hr-HR"/>
        </w:rPr>
      </w:pPr>
      <w:r w:rsidRPr="002D571C">
        <w:rPr>
          <w:rFonts w:eastAsia="Calibri" w:cstheme="minorHAnsi"/>
          <w:lang w:val="hr-HR"/>
        </w:rPr>
        <w:t xml:space="preserve">Prihodi od </w:t>
      </w:r>
      <w:r w:rsidRPr="0074528D">
        <w:rPr>
          <w:rFonts w:eastAsia="Calibri" w:cstheme="minorHAnsi"/>
          <w:lang w:val="hr-HR"/>
        </w:rPr>
        <w:t>prodaje nefinancijske imovine u 2026. godini planiraju se u iznosu od 76,2 milijuna eura, a najveći dio ovih prihoda ostvarit će se prodajom zemljišta, stanova i ostalih građevinskih objekata, kao i prihodima od prodaje zaliha odnosno nafte i naftnih derivata. U naredne dvije godine ovi prihodi se projiciraju u iznosu od 75 milijuna eura i 74,</w:t>
      </w:r>
      <w:r w:rsidR="0074528D">
        <w:rPr>
          <w:rFonts w:eastAsia="Calibri" w:cstheme="minorHAnsi"/>
          <w:lang w:val="hr-HR"/>
        </w:rPr>
        <w:t>4</w:t>
      </w:r>
      <w:r w:rsidRPr="0074528D">
        <w:rPr>
          <w:rFonts w:eastAsia="Calibri" w:cstheme="minorHAnsi"/>
          <w:lang w:val="hr-HR"/>
        </w:rPr>
        <w:t xml:space="preserve"> milijuna eura.</w:t>
      </w:r>
    </w:p>
    <w:p w14:paraId="28418F2C" w14:textId="105F0C8A" w:rsidR="0037667D" w:rsidRPr="00B42FFB" w:rsidRDefault="001F3879" w:rsidP="008A4124">
      <w:pPr>
        <w:spacing w:before="240" w:after="120"/>
        <w:contextualSpacing/>
        <w:jc w:val="both"/>
        <w:rPr>
          <w:rFonts w:eastAsia="Calibri" w:cstheme="minorHAnsi"/>
          <w:lang w:val="hr-HR"/>
        </w:rPr>
      </w:pPr>
      <w:r w:rsidRPr="00B42FFB">
        <w:rPr>
          <w:rFonts w:cstheme="minorHAnsi"/>
          <w:i/>
          <w:lang w:val="hr-HR"/>
        </w:rPr>
        <w:lastRenderedPageBreak/>
        <w:t xml:space="preserve">Tablica </w:t>
      </w:r>
      <w:r w:rsidRPr="00B42FFB">
        <w:rPr>
          <w:rFonts w:cstheme="minorHAnsi"/>
          <w:i/>
          <w:lang w:val="hr-HR"/>
        </w:rPr>
        <w:fldChar w:fldCharType="begin"/>
      </w:r>
      <w:r w:rsidRPr="00B42FFB">
        <w:rPr>
          <w:rFonts w:cstheme="minorHAnsi"/>
          <w:i/>
          <w:lang w:val="hr-HR"/>
        </w:rPr>
        <w:instrText xml:space="preserve"> SEQ Tablica \* ARABIC </w:instrText>
      </w:r>
      <w:r w:rsidRPr="00B42FFB">
        <w:rPr>
          <w:rFonts w:cstheme="minorHAnsi"/>
          <w:i/>
          <w:lang w:val="hr-HR"/>
        </w:rPr>
        <w:fldChar w:fldCharType="separate"/>
      </w:r>
      <w:r w:rsidR="004953C0">
        <w:rPr>
          <w:rFonts w:cstheme="minorHAnsi"/>
          <w:i/>
          <w:noProof/>
          <w:lang w:val="hr-HR"/>
        </w:rPr>
        <w:t>5</w:t>
      </w:r>
      <w:r w:rsidRPr="00B42FFB">
        <w:rPr>
          <w:rFonts w:cstheme="minorHAnsi"/>
          <w:i/>
          <w:lang w:val="hr-HR"/>
        </w:rPr>
        <w:fldChar w:fldCharType="end"/>
      </w:r>
      <w:r w:rsidRPr="00B42FFB">
        <w:rPr>
          <w:rFonts w:cstheme="minorHAnsi"/>
          <w:i/>
          <w:lang w:val="hr-HR"/>
        </w:rPr>
        <w:t>: Prihodi državnog proračuna za razdoblje 20</w:t>
      </w:r>
      <w:r w:rsidR="00EE36D9" w:rsidRPr="00B42FFB">
        <w:rPr>
          <w:rFonts w:cstheme="minorHAnsi"/>
          <w:i/>
          <w:lang w:val="hr-HR"/>
        </w:rPr>
        <w:t>2</w:t>
      </w:r>
      <w:r w:rsidR="00B42FFB" w:rsidRPr="00B42FFB">
        <w:rPr>
          <w:rFonts w:cstheme="minorHAnsi"/>
          <w:i/>
          <w:lang w:val="hr-HR"/>
        </w:rPr>
        <w:t>4</w:t>
      </w:r>
      <w:r w:rsidR="00E22265" w:rsidRPr="00B42FFB">
        <w:rPr>
          <w:rFonts w:cstheme="minorHAnsi"/>
          <w:i/>
          <w:lang w:val="hr-HR"/>
        </w:rPr>
        <w:t>. - 202</w:t>
      </w:r>
      <w:r w:rsidR="00B42FFB" w:rsidRPr="00B42FFB">
        <w:rPr>
          <w:rFonts w:cstheme="minorHAnsi"/>
          <w:i/>
          <w:lang w:val="hr-HR"/>
        </w:rPr>
        <w:t>8</w:t>
      </w:r>
      <w:r w:rsidRPr="00B42FFB">
        <w:rPr>
          <w:rFonts w:cstheme="minorHAnsi"/>
          <w:i/>
          <w:lang w:val="hr-HR"/>
        </w:rPr>
        <w:t>.</w:t>
      </w:r>
      <w:bookmarkEnd w:id="8"/>
      <w:r w:rsidR="008A4124" w:rsidRPr="00B42FFB">
        <w:rPr>
          <w:rFonts w:cstheme="minorHAnsi"/>
          <w:i/>
          <w:lang w:val="hr-HR"/>
        </w:rPr>
        <w:tab/>
      </w:r>
      <w:r w:rsidR="009D478D">
        <w:rPr>
          <w:rFonts w:cstheme="minorHAnsi"/>
          <w:i/>
          <w:lang w:val="hr-HR"/>
        </w:rPr>
        <w:tab/>
      </w:r>
      <w:r w:rsidR="009D478D">
        <w:rPr>
          <w:rFonts w:cstheme="minorHAnsi"/>
          <w:i/>
          <w:lang w:val="hr-HR"/>
        </w:rPr>
        <w:br/>
      </w:r>
      <w:r w:rsidR="00E8449C" w:rsidRPr="00E8449C">
        <w:rPr>
          <w:noProof/>
          <w:lang w:val="hr-HR" w:eastAsia="hr-HR"/>
        </w:rPr>
        <w:drawing>
          <wp:inline distT="0" distB="0" distL="0" distR="0" wp14:anchorId="5C549BA1" wp14:editId="34E36919">
            <wp:extent cx="6440058" cy="3116275"/>
            <wp:effectExtent l="0" t="0" r="0" b="825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99318" cy="3144950"/>
                    </a:xfrm>
                    <a:prstGeom prst="rect">
                      <a:avLst/>
                    </a:prstGeom>
                    <a:noFill/>
                    <a:ln>
                      <a:noFill/>
                    </a:ln>
                  </pic:spPr>
                </pic:pic>
              </a:graphicData>
            </a:graphic>
          </wp:inline>
        </w:drawing>
      </w:r>
      <w:r w:rsidR="008A4124" w:rsidRPr="00B42FFB">
        <w:rPr>
          <w:rFonts w:cstheme="minorHAnsi"/>
          <w:i/>
          <w:lang w:val="hr-HR"/>
        </w:rPr>
        <w:br/>
      </w:r>
      <w:r w:rsidRPr="00B42FFB">
        <w:rPr>
          <w:i/>
          <w:sz w:val="20"/>
          <w:lang w:val="hr-HR"/>
        </w:rPr>
        <w:t>Izvor: Ministarstvo financija</w:t>
      </w:r>
    </w:p>
    <w:p w14:paraId="761E5024" w14:textId="77777777" w:rsidR="009D478D" w:rsidRDefault="009D478D">
      <w:pPr>
        <w:rPr>
          <w:highlight w:val="yellow"/>
          <w:lang w:val="hr-HR"/>
        </w:rPr>
      </w:pPr>
      <w:r>
        <w:rPr>
          <w:highlight w:val="yellow"/>
          <w:lang w:val="hr-HR"/>
        </w:rPr>
        <w:br w:type="page"/>
      </w:r>
    </w:p>
    <w:p w14:paraId="03F56806" w14:textId="77777777" w:rsidR="00695821" w:rsidRPr="00974D72" w:rsidRDefault="00695821" w:rsidP="0029489C">
      <w:pPr>
        <w:pStyle w:val="Heading1"/>
        <w:numPr>
          <w:ilvl w:val="0"/>
          <w:numId w:val="17"/>
        </w:numPr>
        <w:rPr>
          <w:lang w:val="hr-HR"/>
        </w:rPr>
      </w:pPr>
      <w:bookmarkStart w:id="26" w:name="_Toc213857302"/>
      <w:r w:rsidRPr="00974D72">
        <w:rPr>
          <w:lang w:val="hr-HR"/>
        </w:rPr>
        <w:lastRenderedPageBreak/>
        <w:t>RASHODI DRŽAVNOG PRORAČUNA</w:t>
      </w:r>
      <w:bookmarkEnd w:id="26"/>
      <w:r w:rsidRPr="00974D72">
        <w:rPr>
          <w:lang w:val="hr-HR"/>
        </w:rPr>
        <w:t xml:space="preserve"> </w:t>
      </w:r>
    </w:p>
    <w:p w14:paraId="78A453DE" w14:textId="77777777" w:rsidR="00181D76" w:rsidRPr="00974D72" w:rsidRDefault="00181D76" w:rsidP="00181D76">
      <w:pPr>
        <w:rPr>
          <w:lang w:val="hr-HR"/>
        </w:rPr>
      </w:pPr>
    </w:p>
    <w:p w14:paraId="53325380" w14:textId="77777777" w:rsidR="00974D72" w:rsidRPr="00974D72" w:rsidRDefault="00974D72" w:rsidP="00974D72">
      <w:pPr>
        <w:spacing w:after="0"/>
        <w:jc w:val="both"/>
        <w:rPr>
          <w:rFonts w:cstheme="minorHAnsi"/>
          <w:lang w:val="hr-HR"/>
        </w:rPr>
      </w:pPr>
      <w:r w:rsidRPr="00974D72">
        <w:rPr>
          <w:rFonts w:cstheme="minorHAnsi"/>
          <w:lang w:val="hr-HR"/>
        </w:rPr>
        <w:t>U 2026. godini ukupni rashodi državnog proračuna planirani su u iznosu od 39,8 milijardi eura, što je 8,3% ili 3,0 milijarde eura više u odnosu na tekući plan za 2025. godinu. U 2027. godini ukupni rashodi planirani su na razini od 39,7 milijardi eura, a u 2028. projiciraju se na razinu od 38,8 milijardi eura.</w:t>
      </w:r>
    </w:p>
    <w:p w14:paraId="4CBA260C" w14:textId="77777777" w:rsidR="003E7003" w:rsidRPr="00974D72" w:rsidRDefault="003E7003" w:rsidP="003E7003">
      <w:pPr>
        <w:spacing w:after="0"/>
        <w:jc w:val="both"/>
        <w:rPr>
          <w:rFonts w:cstheme="minorHAnsi"/>
          <w:lang w:val="hr-HR"/>
        </w:rPr>
      </w:pPr>
    </w:p>
    <w:p w14:paraId="1C527E51" w14:textId="2CF40583" w:rsidR="00223521" w:rsidRPr="00974D72" w:rsidRDefault="00BC27DE" w:rsidP="009D478D">
      <w:pPr>
        <w:spacing w:after="0"/>
        <w:jc w:val="both"/>
        <w:rPr>
          <w:i/>
          <w:lang w:val="hr-HR"/>
        </w:rPr>
      </w:pPr>
      <w:r w:rsidRPr="00974D72">
        <w:rPr>
          <w:i/>
          <w:lang w:val="hr-HR"/>
        </w:rPr>
        <w:t xml:space="preserve">Tablica </w:t>
      </w:r>
      <w:r w:rsidRPr="00974D72">
        <w:rPr>
          <w:i/>
          <w:lang w:val="hr-HR"/>
        </w:rPr>
        <w:fldChar w:fldCharType="begin"/>
      </w:r>
      <w:r w:rsidRPr="00974D72">
        <w:rPr>
          <w:i/>
          <w:lang w:val="hr-HR"/>
        </w:rPr>
        <w:instrText xml:space="preserve"> SEQ Tablica \* ARABIC </w:instrText>
      </w:r>
      <w:r w:rsidRPr="00974D72">
        <w:rPr>
          <w:i/>
          <w:lang w:val="hr-HR"/>
        </w:rPr>
        <w:fldChar w:fldCharType="separate"/>
      </w:r>
      <w:r w:rsidR="004953C0">
        <w:rPr>
          <w:i/>
          <w:noProof/>
          <w:lang w:val="hr-HR"/>
        </w:rPr>
        <w:t>6</w:t>
      </w:r>
      <w:r w:rsidRPr="00974D72">
        <w:rPr>
          <w:i/>
          <w:lang w:val="hr-HR"/>
        </w:rPr>
        <w:fldChar w:fldCharType="end"/>
      </w:r>
      <w:r w:rsidRPr="00974D72">
        <w:rPr>
          <w:i/>
          <w:lang w:val="hr-HR"/>
        </w:rPr>
        <w:t>: Kretanje ukupnih rashoda državnog proračuna u razdoblju 20</w:t>
      </w:r>
      <w:r w:rsidR="00EE36D9" w:rsidRPr="00974D72">
        <w:rPr>
          <w:i/>
          <w:lang w:val="hr-HR"/>
        </w:rPr>
        <w:t>2</w:t>
      </w:r>
      <w:r w:rsidR="00974D72" w:rsidRPr="00974D72">
        <w:rPr>
          <w:i/>
          <w:lang w:val="hr-HR"/>
        </w:rPr>
        <w:t>4</w:t>
      </w:r>
      <w:r w:rsidRPr="00974D72">
        <w:rPr>
          <w:i/>
          <w:lang w:val="hr-HR"/>
        </w:rPr>
        <w:t>. - 202</w:t>
      </w:r>
      <w:r w:rsidR="00974D72" w:rsidRPr="00974D72">
        <w:rPr>
          <w:i/>
          <w:lang w:val="hr-HR"/>
        </w:rPr>
        <w:t>8</w:t>
      </w:r>
      <w:r w:rsidRPr="00974D72">
        <w:rPr>
          <w:i/>
          <w:lang w:val="hr-HR"/>
        </w:rPr>
        <w:t>.</w:t>
      </w:r>
      <w:r w:rsidR="009D478D" w:rsidRPr="00974D72">
        <w:rPr>
          <w:i/>
          <w:lang w:val="hr-HR"/>
        </w:rPr>
        <w:tab/>
      </w:r>
      <w:r w:rsidR="009D478D" w:rsidRPr="00974D72">
        <w:rPr>
          <w:i/>
          <w:lang w:val="hr-HR"/>
        </w:rPr>
        <w:br/>
      </w:r>
      <w:r w:rsidR="00974D72" w:rsidRPr="00974D72">
        <w:rPr>
          <w:rFonts w:cstheme="minorHAnsi"/>
          <w:noProof/>
          <w:lang w:val="hr-HR" w:eastAsia="hr-HR"/>
        </w:rPr>
        <w:drawing>
          <wp:inline distT="0" distB="0" distL="0" distR="0" wp14:anchorId="1343B65B" wp14:editId="27B78578">
            <wp:extent cx="6143693" cy="1550822"/>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59893" cy="1554911"/>
                    </a:xfrm>
                    <a:prstGeom prst="rect">
                      <a:avLst/>
                    </a:prstGeom>
                    <a:noFill/>
                    <a:ln>
                      <a:noFill/>
                    </a:ln>
                  </pic:spPr>
                </pic:pic>
              </a:graphicData>
            </a:graphic>
          </wp:inline>
        </w:drawing>
      </w:r>
    </w:p>
    <w:p w14:paraId="23C4A8BE" w14:textId="77777777" w:rsidR="00BC27DE" w:rsidRPr="00974D72" w:rsidRDefault="00BC27DE" w:rsidP="00223521">
      <w:pPr>
        <w:spacing w:after="0" w:line="240" w:lineRule="auto"/>
        <w:jc w:val="both"/>
        <w:rPr>
          <w:i/>
          <w:lang w:val="hr-HR"/>
        </w:rPr>
      </w:pPr>
      <w:r w:rsidRPr="00974D72">
        <w:rPr>
          <w:i/>
          <w:lang w:val="hr-HR"/>
        </w:rPr>
        <w:t>Izvor: Ministarstvo financija</w:t>
      </w:r>
    </w:p>
    <w:p w14:paraId="4A8A4728" w14:textId="77777777" w:rsidR="003E7003" w:rsidRPr="007879EE" w:rsidRDefault="003E7003" w:rsidP="00223521">
      <w:pPr>
        <w:spacing w:after="0" w:line="240" w:lineRule="auto"/>
        <w:jc w:val="both"/>
        <w:rPr>
          <w:i/>
          <w:highlight w:val="yellow"/>
          <w:lang w:val="hr-HR"/>
        </w:rPr>
      </w:pPr>
    </w:p>
    <w:p w14:paraId="35D8A3F8" w14:textId="77777777" w:rsidR="00974D72" w:rsidRPr="004373DF" w:rsidRDefault="00974D72" w:rsidP="00974D72">
      <w:pPr>
        <w:spacing w:after="0"/>
        <w:jc w:val="both"/>
        <w:rPr>
          <w:rFonts w:eastAsia="Times New Roman" w:cstheme="minorHAnsi"/>
          <w:lang w:val="hr-HR" w:eastAsia="hr-HR"/>
        </w:rPr>
      </w:pPr>
      <w:r w:rsidRPr="004373DF">
        <w:rPr>
          <w:rFonts w:eastAsia="Times New Roman" w:cstheme="minorHAnsi"/>
          <w:lang w:val="hr-HR" w:eastAsia="hr-HR"/>
        </w:rPr>
        <w:t>Ovaj proračun odražava politike Vlade usmjerene na povećanje životnog standarda građana, poticanje demografske obnove, daljnji gospodarski rast, te očuvanje socijalne sigurnosti i stabilnosti javnih financija. Proračun je usklađen s prioritetima održivog razvoja i jačanja otpornosti gospodarstva.</w:t>
      </w:r>
    </w:p>
    <w:p w14:paraId="53174426" w14:textId="77777777" w:rsidR="00974D72" w:rsidRDefault="00974D72" w:rsidP="00974D72">
      <w:pPr>
        <w:spacing w:after="0"/>
        <w:jc w:val="both"/>
        <w:rPr>
          <w:rFonts w:eastAsia="Times New Roman" w:cstheme="minorHAnsi"/>
          <w:lang w:val="hr-HR" w:eastAsia="hr-HR"/>
        </w:rPr>
      </w:pPr>
    </w:p>
    <w:p w14:paraId="3E9E4497" w14:textId="77777777" w:rsidR="00974D72" w:rsidRPr="004373DF" w:rsidRDefault="00974D72" w:rsidP="00974D72">
      <w:pPr>
        <w:spacing w:after="0"/>
        <w:jc w:val="both"/>
        <w:rPr>
          <w:rFonts w:eastAsia="Times New Roman" w:cstheme="minorHAnsi"/>
          <w:lang w:val="hr-HR" w:eastAsia="hr-HR"/>
        </w:rPr>
      </w:pPr>
      <w:r w:rsidRPr="004373DF">
        <w:rPr>
          <w:rFonts w:eastAsia="Times New Roman" w:cstheme="minorHAnsi"/>
          <w:lang w:val="hr-HR" w:eastAsia="hr-HR"/>
        </w:rPr>
        <w:t>Proračunom se osiguravaju sredstva za nastavak jačanje obrambene sposobnosti i sigurnosti, postizanje energetske održivosti te unapređenje prometne povezanosti i kvalitete prometnog sustava.</w:t>
      </w:r>
    </w:p>
    <w:p w14:paraId="58BA2614" w14:textId="77777777" w:rsidR="00974D72" w:rsidRPr="004373DF" w:rsidRDefault="00974D72" w:rsidP="00974D72">
      <w:pPr>
        <w:spacing w:after="0"/>
        <w:jc w:val="both"/>
        <w:rPr>
          <w:rFonts w:eastAsia="Times New Roman" w:cstheme="minorHAnsi"/>
          <w:lang w:val="hr-HR" w:eastAsia="hr-HR"/>
        </w:rPr>
      </w:pPr>
    </w:p>
    <w:p w14:paraId="7853A335" w14:textId="77777777" w:rsidR="00974D72" w:rsidRPr="004373DF" w:rsidRDefault="00974D72" w:rsidP="00974D72">
      <w:pPr>
        <w:spacing w:after="0"/>
        <w:jc w:val="both"/>
        <w:rPr>
          <w:rFonts w:eastAsia="Times New Roman" w:cstheme="minorHAnsi"/>
          <w:lang w:val="hr-HR" w:eastAsia="hr-HR"/>
        </w:rPr>
      </w:pPr>
      <w:r w:rsidRPr="004373DF">
        <w:rPr>
          <w:rFonts w:eastAsia="Times New Roman" w:cstheme="minorHAnsi"/>
          <w:lang w:val="hr-HR" w:eastAsia="hr-HR"/>
        </w:rPr>
        <w:t>Nastavlja se financiranje projekata izgradnje, dogradnje i modernizacije energetske infrastrukture te provedba zelene tranzicije. Osigurana su sredstva za nastavak kapitalnih investicija u području obrazovanja, zdravstva, kulture i sporta te se nastavljaju aktivnosti na cjelovitoj obnovi javne i društvene infrastrukture oštećene potresom.</w:t>
      </w:r>
    </w:p>
    <w:p w14:paraId="3BA90F35" w14:textId="77777777" w:rsidR="00974D72" w:rsidRPr="004373DF" w:rsidRDefault="00974D72" w:rsidP="00974D72">
      <w:pPr>
        <w:spacing w:after="0"/>
        <w:jc w:val="both"/>
        <w:rPr>
          <w:rFonts w:eastAsia="Times New Roman" w:cstheme="minorHAnsi"/>
          <w:lang w:val="hr-HR" w:eastAsia="hr-HR"/>
        </w:rPr>
      </w:pPr>
    </w:p>
    <w:p w14:paraId="5FB92DE8" w14:textId="77777777" w:rsidR="00974D72" w:rsidRPr="004373DF" w:rsidRDefault="00974D72" w:rsidP="00974D72">
      <w:pPr>
        <w:spacing w:after="0"/>
        <w:jc w:val="both"/>
        <w:rPr>
          <w:rFonts w:eastAsia="Times New Roman" w:cstheme="minorHAnsi"/>
          <w:lang w:val="hr-HR" w:eastAsia="hr-HR"/>
        </w:rPr>
      </w:pPr>
      <w:r w:rsidRPr="004373DF">
        <w:rPr>
          <w:rFonts w:eastAsia="Times New Roman" w:cstheme="minorHAnsi"/>
          <w:lang w:val="hr-HR" w:eastAsia="hr-HR"/>
        </w:rPr>
        <w:t xml:space="preserve">U području stanovanja planiraju se programi energetske obnove i potpore za priuštivo stanovanje s ciljem poboljšanja kvalitete života građana. </w:t>
      </w:r>
    </w:p>
    <w:p w14:paraId="5E230C53" w14:textId="77777777" w:rsidR="00974D72" w:rsidRPr="004373DF" w:rsidRDefault="00974D72" w:rsidP="00974D72">
      <w:pPr>
        <w:spacing w:after="0"/>
        <w:jc w:val="both"/>
        <w:rPr>
          <w:rFonts w:eastAsia="Times New Roman" w:cstheme="minorHAnsi"/>
          <w:lang w:val="hr-HR" w:eastAsia="hr-HR"/>
        </w:rPr>
      </w:pPr>
    </w:p>
    <w:p w14:paraId="019CAD57" w14:textId="77777777" w:rsidR="00974D72" w:rsidRPr="004373DF" w:rsidRDefault="00974D72" w:rsidP="00974D72">
      <w:pPr>
        <w:spacing w:after="0"/>
        <w:jc w:val="both"/>
        <w:rPr>
          <w:rFonts w:eastAsia="Times New Roman" w:cstheme="minorHAnsi"/>
          <w:lang w:val="hr-HR" w:eastAsia="hr-HR"/>
        </w:rPr>
      </w:pPr>
      <w:r w:rsidRPr="004373DF">
        <w:rPr>
          <w:rFonts w:eastAsia="Times New Roman" w:cstheme="minorHAnsi"/>
          <w:lang w:val="hr-HR" w:eastAsia="hr-HR"/>
        </w:rPr>
        <w:t>Proračunom su osigurana sredstava za potpore gospodarstvu, malim i srednjim poduzetnicima, obrtnicima te poljoprivrednicima i obiteljskim gospodarstvima. Ove mjere usmjerene su na poticanje ulaganja, proizvodnje, zapošljavanja i inovacija, čime se jača konkurentnost i otpornost domaćeg gospodarstva.</w:t>
      </w:r>
    </w:p>
    <w:p w14:paraId="72B28645" w14:textId="77777777" w:rsidR="00974D72" w:rsidRPr="004373DF" w:rsidRDefault="00974D72" w:rsidP="00974D72">
      <w:pPr>
        <w:spacing w:after="0"/>
        <w:jc w:val="both"/>
        <w:rPr>
          <w:rFonts w:eastAsia="Times New Roman" w:cstheme="minorHAnsi"/>
          <w:lang w:val="hr-HR" w:eastAsia="hr-HR"/>
        </w:rPr>
      </w:pPr>
    </w:p>
    <w:p w14:paraId="45D5F097" w14:textId="77777777" w:rsidR="00974D72" w:rsidRPr="004373DF" w:rsidRDefault="00974D72" w:rsidP="00974D72">
      <w:pPr>
        <w:spacing w:after="0"/>
        <w:jc w:val="both"/>
        <w:rPr>
          <w:rFonts w:eastAsia="Times New Roman" w:cstheme="minorHAnsi"/>
          <w:lang w:val="hr-HR" w:eastAsia="hr-HR"/>
        </w:rPr>
      </w:pPr>
      <w:r w:rsidRPr="004373DF">
        <w:rPr>
          <w:rFonts w:eastAsia="Times New Roman" w:cstheme="minorHAnsi"/>
          <w:lang w:val="hr-HR" w:eastAsia="hr-HR"/>
        </w:rPr>
        <w:t>Nadalje, osiguravaju se sredstva za održivo upravljanje vodama, provedbu aglomeracijskih projekata te unapređenje sustava gospodarenja otpadom. Nastavlja se i proces digitalizacije javne uprave s ciljem povećanja učinkovitosti, transparentnosti i dostupnosti javnih usluga građanima i poduzetnicima.</w:t>
      </w:r>
    </w:p>
    <w:p w14:paraId="3B7BA90C" w14:textId="77777777" w:rsidR="00974D72" w:rsidRPr="004373DF" w:rsidRDefault="00974D72" w:rsidP="00974D72">
      <w:pPr>
        <w:spacing w:after="0"/>
        <w:jc w:val="both"/>
        <w:rPr>
          <w:rFonts w:eastAsia="Times New Roman" w:cstheme="minorHAnsi"/>
          <w:lang w:val="hr-HR" w:eastAsia="hr-HR"/>
        </w:rPr>
      </w:pPr>
    </w:p>
    <w:p w14:paraId="1211032F" w14:textId="77777777" w:rsidR="00974D72" w:rsidRPr="004373DF" w:rsidRDefault="00974D72" w:rsidP="00974D72">
      <w:pPr>
        <w:shd w:val="clear" w:color="auto" w:fill="FFFFFF"/>
        <w:spacing w:after="0"/>
        <w:jc w:val="both"/>
        <w:rPr>
          <w:rFonts w:eastAsia="MS Mincho" w:cstheme="minorHAnsi"/>
          <w:lang w:val="hr-HR" w:eastAsia="ja-JP"/>
        </w:rPr>
      </w:pPr>
      <w:r w:rsidRPr="004373DF">
        <w:rPr>
          <w:rFonts w:eastAsia="MS Mincho" w:cstheme="minorHAnsi"/>
          <w:lang w:val="hr-HR" w:eastAsia="ja-JP"/>
        </w:rPr>
        <w:t xml:space="preserve">Važno je istaknuti da se financiranje dijela projekata i investicija, ovim Proračunom usmjerava na financiranje iz EU bespovratnih sredstava u skladu s revidiranim prioritetima kohezijske politike. Naime, Vijeće EU 18. rujna 2025. odobrilo je promjene propisa koji reguliraju kohezijsku politiku kako </w:t>
      </w:r>
      <w:r w:rsidRPr="004373DF">
        <w:rPr>
          <w:rFonts w:eastAsia="MS Mincho" w:cstheme="minorHAnsi"/>
          <w:lang w:val="hr-HR" w:eastAsia="ja-JP"/>
        </w:rPr>
        <w:lastRenderedPageBreak/>
        <w:t xml:space="preserve">bi se olakšalo preusmjeravanje tih sredstava u nove prioritete, posebice u obranu, sigurnost, civilnu zaštitu, održivo upravljanje vodama, pristupačno stanovanje, konkurentnost i dekarbonizaciju te energetsku tranziciju. </w:t>
      </w:r>
    </w:p>
    <w:p w14:paraId="31B3E30A" w14:textId="77777777" w:rsidR="00BC0BFE" w:rsidRPr="007879EE" w:rsidRDefault="00BC0BFE" w:rsidP="00BC0BFE">
      <w:pPr>
        <w:shd w:val="clear" w:color="auto" w:fill="FFFFFF"/>
        <w:spacing w:after="0"/>
        <w:jc w:val="both"/>
        <w:rPr>
          <w:rFonts w:cstheme="minorHAnsi"/>
          <w:highlight w:val="yellow"/>
          <w:lang w:val="hr-HR"/>
        </w:rPr>
      </w:pPr>
    </w:p>
    <w:p w14:paraId="5D19BC9D" w14:textId="77777777" w:rsidR="00D92985" w:rsidRPr="004373DF" w:rsidRDefault="00D92985" w:rsidP="00D92985">
      <w:pPr>
        <w:spacing w:after="0"/>
        <w:jc w:val="both"/>
        <w:rPr>
          <w:rFonts w:cstheme="minorHAnsi"/>
          <w:lang w:val="hr-HR"/>
        </w:rPr>
      </w:pPr>
      <w:r w:rsidRPr="004373DF">
        <w:rPr>
          <w:rFonts w:cstheme="minorHAnsi"/>
          <w:lang w:val="hr-HR"/>
        </w:rPr>
        <w:t>Povećanje ukupnih rashoda prvenstveno je rezultat povećanih izdvajanja za:</w:t>
      </w:r>
    </w:p>
    <w:p w14:paraId="3F65C5E7"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mirovine i mirovinska primanja u iznosu od 1,0 milijardu eura uslijed redovnog usklađivanja mirovina (indeksacija) i pune godišnje primjene Izmjena i dopuna Zakona o mirovinskom osiguranju,</w:t>
      </w:r>
    </w:p>
    <w:p w14:paraId="3E65F3DA"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zaposlene (uključujući rashode za zaposlene u osnovnom i srednjem školstvu i zaposlene u ustanovama u zdravstvu) u iznosu od 353,9 milijuna eura uslijed pune godišnje primjene povećanja osnovice za obračun plaće u državnim i javnim službama ugovorenog u prosincu 2024. godine,</w:t>
      </w:r>
    </w:p>
    <w:p w14:paraId="6848D03A"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 xml:space="preserve">ulaganja u opremanje i modernizaciju vojske u iznosu od 209,9 milijuna eura (nabava topničkog sustava HIMARS, bezposadnih letjelica Baryaktar, helikoptera Black Hawk, sustava protuzračne obrane, borbenih vozila pješaštva Bradley i informacijsko-komunikacijske opreme, opremanje borbenim tenkovima Leopard), </w:t>
      </w:r>
    </w:p>
    <w:p w14:paraId="4C693FB3"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energetska obnova u iznosu od 187,4 milijuna eura,</w:t>
      </w:r>
    </w:p>
    <w:p w14:paraId="7CBD8ED0"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kapitalne investicije u zdravstvenu infrastrukturu u iznosu od 183,4 milijuna eura,</w:t>
      </w:r>
    </w:p>
    <w:p w14:paraId="0F1CCB22"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doprinos Republike Hrvatske proračunu Europske unije u iznosu od 146,6 milijuna eura,</w:t>
      </w:r>
    </w:p>
    <w:p w14:paraId="5EA99DB5"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demografske mjere u iznosu od 124,4 milijuna eura od čega:</w:t>
      </w:r>
    </w:p>
    <w:p w14:paraId="2C141819" w14:textId="77777777" w:rsidR="00D92985" w:rsidRPr="004373DF" w:rsidRDefault="00D92985" w:rsidP="00D92985">
      <w:pPr>
        <w:pStyle w:val="ListParagraph"/>
        <w:numPr>
          <w:ilvl w:val="2"/>
          <w:numId w:val="26"/>
        </w:numPr>
        <w:spacing w:after="0"/>
        <w:ind w:left="1418"/>
        <w:jc w:val="both"/>
        <w:rPr>
          <w:rFonts w:cstheme="minorHAnsi"/>
          <w:lang w:val="hr-HR"/>
        </w:rPr>
      </w:pPr>
      <w:r w:rsidRPr="004373DF">
        <w:rPr>
          <w:rFonts w:cstheme="minorHAnsi"/>
          <w:lang w:val="hr-HR"/>
        </w:rPr>
        <w:t xml:space="preserve">rodiljne naknade - 104,1 milijun eura </w:t>
      </w:r>
    </w:p>
    <w:p w14:paraId="19ED4DC7" w14:textId="77777777" w:rsidR="00D92985" w:rsidRPr="004373DF" w:rsidRDefault="00D92985" w:rsidP="00D92985">
      <w:pPr>
        <w:pStyle w:val="ListParagraph"/>
        <w:numPr>
          <w:ilvl w:val="2"/>
          <w:numId w:val="26"/>
        </w:numPr>
        <w:spacing w:after="0"/>
        <w:ind w:left="1418"/>
        <w:jc w:val="both"/>
        <w:rPr>
          <w:rFonts w:cstheme="minorHAnsi"/>
          <w:lang w:val="hr-HR"/>
        </w:rPr>
      </w:pPr>
      <w:r w:rsidRPr="004373DF">
        <w:rPr>
          <w:rFonts w:cstheme="minorHAnsi"/>
          <w:lang w:val="hr-HR"/>
        </w:rPr>
        <w:t>poboljšanje materijalnih uvjeta u vrtićima i ulaganje u uređenje igrališta za djecu - 8,0 milijuna eura</w:t>
      </w:r>
    </w:p>
    <w:p w14:paraId="3FCD84D7" w14:textId="77777777" w:rsidR="00D92985" w:rsidRPr="004373DF" w:rsidRDefault="00D92985" w:rsidP="00D92985">
      <w:pPr>
        <w:pStyle w:val="ListParagraph"/>
        <w:numPr>
          <w:ilvl w:val="2"/>
          <w:numId w:val="26"/>
        </w:numPr>
        <w:spacing w:after="0"/>
        <w:ind w:left="1418"/>
        <w:jc w:val="both"/>
        <w:rPr>
          <w:rFonts w:cstheme="minorHAnsi"/>
          <w:lang w:val="hr-HR"/>
        </w:rPr>
      </w:pPr>
      <w:r w:rsidRPr="004373DF">
        <w:rPr>
          <w:rFonts w:cstheme="minorHAnsi"/>
          <w:lang w:val="hr-HR"/>
        </w:rPr>
        <w:t>paket za novorođenčad - 2,0 milijuna eura</w:t>
      </w:r>
    </w:p>
    <w:p w14:paraId="4A6DF2C3" w14:textId="77777777" w:rsidR="00D92985" w:rsidRPr="004373DF" w:rsidRDefault="00D92985" w:rsidP="00D92985">
      <w:pPr>
        <w:pStyle w:val="ListParagraph"/>
        <w:numPr>
          <w:ilvl w:val="1"/>
          <w:numId w:val="26"/>
        </w:numPr>
        <w:spacing w:after="0"/>
        <w:ind w:left="709" w:hanging="283"/>
        <w:jc w:val="both"/>
        <w:rPr>
          <w:rFonts w:cstheme="minorHAnsi"/>
          <w:color w:val="000000" w:themeColor="text1"/>
          <w:lang w:val="hr-HR"/>
        </w:rPr>
      </w:pPr>
      <w:r w:rsidRPr="004373DF">
        <w:rPr>
          <w:rFonts w:cstheme="minorHAnsi"/>
          <w:color w:val="000000" w:themeColor="text1"/>
          <w:lang w:val="hr-HR"/>
        </w:rPr>
        <w:t>ulaganje u znanstveno-istraživačku djelatnost u iznosu od 115,9 milijuna eura</w:t>
      </w:r>
    </w:p>
    <w:p w14:paraId="770707B1"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upravljanje i zaštita državnih granica (opremanje i modernizacija infrastrukture za nadzor državnih granica, suzbijanje prekograničnog kriminala) u iznosu od 107,2 milijuna eura,</w:t>
      </w:r>
    </w:p>
    <w:p w14:paraId="63BEFDDF"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projekte energetske održivosti (izgradnja plinovoda, modernizacija i dogradnja elektroenergetskog sustava te ekološki prihvatljiviji oblici prometa bazirani na vodiku) u iznosu od 104,7 milijuna eura,</w:t>
      </w:r>
    </w:p>
    <w:p w14:paraId="311E357F"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održivo gospodarenje otpadom u iznosu od 103,4 milijuna eura</w:t>
      </w:r>
    </w:p>
    <w:p w14:paraId="6EF708AC"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financiranje infrastrukture za provođenje jednosmjenske nastave u iznosu od 100,9 milijuna eura,</w:t>
      </w:r>
    </w:p>
    <w:p w14:paraId="1614AFE3"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kapitalne investicije u pravosudni i kazneni sustav u iznosu od 96,8 milijuna eura,</w:t>
      </w:r>
    </w:p>
    <w:p w14:paraId="32AC659E"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kamate vezane uz upravljanje javnim dugom u iznosu od 86,9 milijuna eura,</w:t>
      </w:r>
    </w:p>
    <w:p w14:paraId="1AC3232F"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digitalizacija sustava javne uprave u iznos od 75,0 milijuna eura od čega:</w:t>
      </w:r>
    </w:p>
    <w:p w14:paraId="4B29922C" w14:textId="77777777" w:rsidR="00D92985" w:rsidRPr="004373DF" w:rsidRDefault="00D92985" w:rsidP="00D92985">
      <w:pPr>
        <w:pStyle w:val="ListParagraph"/>
        <w:numPr>
          <w:ilvl w:val="2"/>
          <w:numId w:val="26"/>
        </w:numPr>
        <w:spacing w:after="0"/>
        <w:ind w:left="1418"/>
        <w:jc w:val="both"/>
        <w:rPr>
          <w:rFonts w:cstheme="minorHAnsi"/>
          <w:lang w:val="hr-HR"/>
        </w:rPr>
      </w:pPr>
      <w:r w:rsidRPr="004373DF">
        <w:rPr>
          <w:rFonts w:cstheme="minorHAnsi"/>
          <w:lang w:val="hr-HR"/>
        </w:rPr>
        <w:t>digitalizacija visokog obrazovanja - 41,9 milijuna eura</w:t>
      </w:r>
    </w:p>
    <w:p w14:paraId="14D9827F" w14:textId="77777777" w:rsidR="00D92985" w:rsidRPr="004373DF" w:rsidRDefault="00D92985" w:rsidP="00D92985">
      <w:pPr>
        <w:pStyle w:val="ListParagraph"/>
        <w:numPr>
          <w:ilvl w:val="2"/>
          <w:numId w:val="26"/>
        </w:numPr>
        <w:spacing w:after="0"/>
        <w:ind w:left="1418"/>
        <w:jc w:val="both"/>
        <w:rPr>
          <w:rFonts w:cstheme="minorHAnsi"/>
          <w:lang w:val="hr-HR"/>
        </w:rPr>
      </w:pPr>
      <w:r w:rsidRPr="004373DF">
        <w:rPr>
          <w:rFonts w:cstheme="minorHAnsi"/>
          <w:lang w:val="hr-HR"/>
        </w:rPr>
        <w:t>uvođenje digitalne lisnice - 12,6 milijuna eura</w:t>
      </w:r>
    </w:p>
    <w:p w14:paraId="776FF3D0" w14:textId="77777777" w:rsidR="00D92985" w:rsidRPr="004373DF" w:rsidRDefault="00D92985" w:rsidP="00D92985">
      <w:pPr>
        <w:pStyle w:val="ListParagraph"/>
        <w:numPr>
          <w:ilvl w:val="2"/>
          <w:numId w:val="26"/>
        </w:numPr>
        <w:spacing w:after="0"/>
        <w:ind w:left="1418"/>
        <w:jc w:val="both"/>
        <w:rPr>
          <w:rFonts w:cstheme="minorHAnsi"/>
          <w:lang w:val="hr-HR"/>
        </w:rPr>
      </w:pPr>
      <w:r w:rsidRPr="004373DF">
        <w:rPr>
          <w:rFonts w:cstheme="minorHAnsi"/>
          <w:lang w:val="hr-HR"/>
        </w:rPr>
        <w:t>digitalizacija sustava prostornog uređenja - 8,2 milijuna eura</w:t>
      </w:r>
    </w:p>
    <w:p w14:paraId="1CE95CD0"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ulaganja u cestovnu infrastrukturu (izgradnja tunela Vučevica, izgradnja ceste Solin - Stobreč - Dugi Rat – Omiš, izgradnja treće trake zagrebačke obilaznice Jankomir-Lučko) u iznosu od 66,9 milijuna eura</w:t>
      </w:r>
    </w:p>
    <w:p w14:paraId="3F9A60EB"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 xml:space="preserve">nastavak sanacije šteta od potresa u iznosu od 66,0 milijuna eura, </w:t>
      </w:r>
    </w:p>
    <w:p w14:paraId="2084EA8B"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elektronički sustav naplate cestarine u iznosu od 52,8 milijuna eura,</w:t>
      </w:r>
    </w:p>
    <w:p w14:paraId="2626A1CD"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razvoj širokopojasnog pristupa internetu u iznosu od 47,4 milijuna eura,</w:t>
      </w:r>
    </w:p>
    <w:p w14:paraId="3319FE01"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lastRenderedPageBreak/>
        <w:t>jačanje i razvoj sustava azila u iznosu od 43,6 milijuna eura,</w:t>
      </w:r>
    </w:p>
    <w:p w14:paraId="07323F9D"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razvoj sporta u iznosu od 43,3 milijuna eura od čega:</w:t>
      </w:r>
    </w:p>
    <w:p w14:paraId="2DBF15F2" w14:textId="77777777" w:rsidR="00D92985" w:rsidRPr="004373DF" w:rsidRDefault="00D92985" w:rsidP="00D92985">
      <w:pPr>
        <w:pStyle w:val="ListParagraph"/>
        <w:numPr>
          <w:ilvl w:val="2"/>
          <w:numId w:val="26"/>
        </w:numPr>
        <w:spacing w:after="0"/>
        <w:ind w:left="1418"/>
        <w:jc w:val="both"/>
        <w:rPr>
          <w:rFonts w:cstheme="minorHAnsi"/>
          <w:lang w:val="hr-HR"/>
        </w:rPr>
      </w:pPr>
      <w:r w:rsidRPr="004373DF">
        <w:rPr>
          <w:rFonts w:cstheme="minorHAnsi"/>
          <w:lang w:val="hr-HR"/>
        </w:rPr>
        <w:t>domaćinstvo Europskih sveučilišnih igara - 20,0 milijuna eura</w:t>
      </w:r>
    </w:p>
    <w:p w14:paraId="16B9A954" w14:textId="77777777" w:rsidR="00D92985" w:rsidRPr="004373DF" w:rsidRDefault="00D92985" w:rsidP="00D92985">
      <w:pPr>
        <w:pStyle w:val="ListParagraph"/>
        <w:numPr>
          <w:ilvl w:val="2"/>
          <w:numId w:val="26"/>
        </w:numPr>
        <w:spacing w:after="0"/>
        <w:ind w:left="1418"/>
        <w:jc w:val="both"/>
        <w:rPr>
          <w:rFonts w:cstheme="minorHAnsi"/>
          <w:lang w:val="hr-HR"/>
        </w:rPr>
      </w:pPr>
      <w:r w:rsidRPr="004373DF">
        <w:rPr>
          <w:rFonts w:cstheme="minorHAnsi"/>
          <w:lang w:val="hr-HR"/>
        </w:rPr>
        <w:t>građevinski zahvati na sportskoj infrastrukturi - 5,0 milijuna eura</w:t>
      </w:r>
    </w:p>
    <w:p w14:paraId="6BA1A8C5" w14:textId="77777777" w:rsidR="00D92985" w:rsidRPr="004373DF" w:rsidRDefault="00D92985" w:rsidP="00D92985">
      <w:pPr>
        <w:pStyle w:val="ListParagraph"/>
        <w:numPr>
          <w:ilvl w:val="2"/>
          <w:numId w:val="26"/>
        </w:numPr>
        <w:spacing w:after="0"/>
        <w:ind w:left="1418"/>
        <w:jc w:val="both"/>
        <w:rPr>
          <w:rFonts w:cstheme="minorHAnsi"/>
          <w:lang w:val="hr-HR"/>
        </w:rPr>
      </w:pPr>
      <w:r w:rsidRPr="004373DF">
        <w:rPr>
          <w:rFonts w:cstheme="minorHAnsi"/>
          <w:lang w:val="hr-HR"/>
        </w:rPr>
        <w:t>razvoj vodenih sportova - 5,0 milijuna eura</w:t>
      </w:r>
    </w:p>
    <w:p w14:paraId="33D482AE" w14:textId="77777777" w:rsidR="00D92985" w:rsidRPr="004373DF" w:rsidRDefault="00D92985" w:rsidP="00D92985">
      <w:pPr>
        <w:pStyle w:val="ListParagraph"/>
        <w:numPr>
          <w:ilvl w:val="2"/>
          <w:numId w:val="26"/>
        </w:numPr>
        <w:spacing w:after="0"/>
        <w:ind w:left="1418"/>
        <w:jc w:val="both"/>
        <w:rPr>
          <w:rFonts w:cstheme="minorHAnsi"/>
          <w:lang w:val="hr-HR"/>
        </w:rPr>
      </w:pPr>
      <w:r w:rsidRPr="004373DF">
        <w:rPr>
          <w:rFonts w:cstheme="minorHAnsi"/>
          <w:lang w:val="hr-HR"/>
        </w:rPr>
        <w:t>programi javnih potreba u sportu - 5,0 milijuna eura</w:t>
      </w:r>
    </w:p>
    <w:p w14:paraId="7AA62373" w14:textId="77777777" w:rsidR="00D92985" w:rsidRPr="004373DF" w:rsidRDefault="00D92985" w:rsidP="00D92985">
      <w:pPr>
        <w:pStyle w:val="ListParagraph"/>
        <w:numPr>
          <w:ilvl w:val="1"/>
          <w:numId w:val="26"/>
        </w:numPr>
        <w:spacing w:after="0"/>
        <w:ind w:left="709" w:hanging="283"/>
        <w:jc w:val="both"/>
        <w:rPr>
          <w:rFonts w:cstheme="minorHAnsi"/>
          <w:lang w:val="hr-HR"/>
        </w:rPr>
      </w:pPr>
      <w:r w:rsidRPr="004373DF">
        <w:rPr>
          <w:rFonts w:cstheme="minorHAnsi"/>
          <w:lang w:val="hr-HR"/>
        </w:rPr>
        <w:t>izgradnja i opremanje braniteljskih i veteranskih centara u iznosu od 38,3 milijuna eura.</w:t>
      </w:r>
    </w:p>
    <w:p w14:paraId="52AAF59A" w14:textId="77777777" w:rsidR="00BC0BFE" w:rsidRPr="007879EE" w:rsidRDefault="00BC0BFE" w:rsidP="00BC0BFE">
      <w:pPr>
        <w:spacing w:after="0"/>
        <w:jc w:val="both"/>
        <w:rPr>
          <w:rFonts w:cstheme="minorHAnsi"/>
          <w:highlight w:val="yellow"/>
          <w:lang w:val="hr-HR"/>
        </w:rPr>
      </w:pPr>
    </w:p>
    <w:p w14:paraId="039CF47C" w14:textId="6985D729" w:rsidR="00D92985" w:rsidRPr="004373DF" w:rsidRDefault="002A4792" w:rsidP="00D92985">
      <w:pPr>
        <w:spacing w:after="0"/>
        <w:jc w:val="both"/>
        <w:rPr>
          <w:rFonts w:cstheme="minorHAnsi"/>
          <w:lang w:val="hr-HR"/>
        </w:rPr>
      </w:pPr>
      <w:r>
        <w:rPr>
          <w:rFonts w:cstheme="minorHAnsi"/>
          <w:lang w:val="hr-HR"/>
        </w:rPr>
        <w:t>I</w:t>
      </w:r>
      <w:r w:rsidR="00D92985" w:rsidRPr="004373DF">
        <w:rPr>
          <w:rFonts w:cstheme="minorHAnsi"/>
          <w:lang w:val="hr-HR"/>
        </w:rPr>
        <w:t xml:space="preserve">stovremeno se u odnosu na tekući plan 2025. godine smanjuju izdvajanja vezana za subvencioniranje cijene energenata uslijed postepene stabilizacije tržišnih cijena </w:t>
      </w:r>
      <w:r>
        <w:rPr>
          <w:rFonts w:cstheme="minorHAnsi"/>
          <w:lang w:val="hr-HR"/>
        </w:rPr>
        <w:t xml:space="preserve">, kao i </w:t>
      </w:r>
      <w:r w:rsidR="00D92985" w:rsidRPr="004373DF">
        <w:rPr>
          <w:rFonts w:cstheme="minorHAnsi"/>
          <w:lang w:val="hr-HR"/>
        </w:rPr>
        <w:t>izdvajanja za dodatna sredstva za pokriće troškova zdravstvene zaštite zbog većih</w:t>
      </w:r>
      <w:r>
        <w:rPr>
          <w:rFonts w:cstheme="minorHAnsi"/>
          <w:lang w:val="hr-HR"/>
        </w:rPr>
        <w:t xml:space="preserve"> </w:t>
      </w:r>
      <w:r w:rsidR="00D92985" w:rsidRPr="004373DF">
        <w:rPr>
          <w:rFonts w:cstheme="minorHAnsi"/>
          <w:lang w:val="hr-HR"/>
        </w:rPr>
        <w:t xml:space="preserve"> očekivanih doprinosa za zdravstveno osiguranje uslijed nastavka rasta zaposlenosti </w:t>
      </w:r>
      <w:r w:rsidR="008B5CAF">
        <w:rPr>
          <w:rFonts w:cstheme="minorHAnsi"/>
          <w:lang w:val="hr-HR"/>
        </w:rPr>
        <w:t>i učinaka</w:t>
      </w:r>
      <w:r w:rsidR="008B5CAF" w:rsidRPr="004373DF">
        <w:rPr>
          <w:rFonts w:cstheme="minorHAnsi"/>
          <w:lang w:val="hr-HR"/>
        </w:rPr>
        <w:t xml:space="preserve"> </w:t>
      </w:r>
      <w:r w:rsidR="00D92985" w:rsidRPr="004373DF">
        <w:rPr>
          <w:rFonts w:cstheme="minorHAnsi"/>
          <w:lang w:val="hr-HR"/>
        </w:rPr>
        <w:t xml:space="preserve">ukidanja oslobođenja od plaćanja doprinosa za obvezno zdravstveno osiguranje za mlade osobe. </w:t>
      </w:r>
    </w:p>
    <w:p w14:paraId="375BDCDD" w14:textId="77777777" w:rsidR="00D92985" w:rsidRPr="004373DF" w:rsidRDefault="00D92985" w:rsidP="00D92985">
      <w:pPr>
        <w:spacing w:after="0"/>
        <w:jc w:val="both"/>
        <w:rPr>
          <w:rFonts w:cstheme="minorHAnsi"/>
          <w:lang w:val="hr-HR"/>
        </w:rPr>
      </w:pPr>
    </w:p>
    <w:p w14:paraId="5A34DD61" w14:textId="77777777" w:rsidR="00D92985" w:rsidRDefault="00D92985" w:rsidP="00D92985">
      <w:pPr>
        <w:spacing w:after="0"/>
        <w:jc w:val="both"/>
        <w:rPr>
          <w:rFonts w:cstheme="minorHAnsi"/>
          <w:lang w:val="hr-HR"/>
        </w:rPr>
      </w:pPr>
      <w:r w:rsidRPr="004373DF">
        <w:rPr>
          <w:rFonts w:cstheme="minorHAnsi"/>
          <w:lang w:val="hr-HR"/>
        </w:rPr>
        <w:t xml:space="preserve">U nastavku se daje pregled kretanja rashoda državnog proračuna u razdoblju 2024. - 2028. po ekonomskoj klasifikaciji. </w:t>
      </w:r>
    </w:p>
    <w:p w14:paraId="391DBCF0" w14:textId="77777777" w:rsidR="00D92985" w:rsidRPr="004373DF" w:rsidRDefault="00D92985" w:rsidP="00D92985">
      <w:pPr>
        <w:spacing w:after="0"/>
        <w:jc w:val="both"/>
        <w:rPr>
          <w:rFonts w:cstheme="minorHAnsi"/>
          <w:lang w:val="hr-HR"/>
        </w:rPr>
      </w:pPr>
    </w:p>
    <w:p w14:paraId="44E60FD7" w14:textId="0ACC0884" w:rsidR="00223521" w:rsidRPr="00D92985" w:rsidRDefault="00527791" w:rsidP="009D478D">
      <w:pPr>
        <w:spacing w:after="0"/>
        <w:jc w:val="both"/>
        <w:rPr>
          <w:i/>
          <w:lang w:val="hr-HR"/>
        </w:rPr>
      </w:pPr>
      <w:r w:rsidRPr="00D92985">
        <w:rPr>
          <w:i/>
          <w:lang w:val="hr-HR"/>
        </w:rPr>
        <w:t xml:space="preserve">Tablica </w:t>
      </w:r>
      <w:r w:rsidRPr="00D92985">
        <w:rPr>
          <w:i/>
          <w:lang w:val="hr-HR"/>
        </w:rPr>
        <w:fldChar w:fldCharType="begin"/>
      </w:r>
      <w:r w:rsidRPr="00D92985">
        <w:rPr>
          <w:i/>
          <w:lang w:val="hr-HR"/>
        </w:rPr>
        <w:instrText xml:space="preserve"> SEQ Tablica \* ARABIC </w:instrText>
      </w:r>
      <w:r w:rsidRPr="00D92985">
        <w:rPr>
          <w:i/>
          <w:lang w:val="hr-HR"/>
        </w:rPr>
        <w:fldChar w:fldCharType="separate"/>
      </w:r>
      <w:r w:rsidR="004953C0">
        <w:rPr>
          <w:i/>
          <w:noProof/>
          <w:lang w:val="hr-HR"/>
        </w:rPr>
        <w:t>7</w:t>
      </w:r>
      <w:r w:rsidRPr="00D92985">
        <w:rPr>
          <w:i/>
          <w:lang w:val="hr-HR"/>
        </w:rPr>
        <w:fldChar w:fldCharType="end"/>
      </w:r>
      <w:r w:rsidRPr="00D92985">
        <w:rPr>
          <w:i/>
          <w:lang w:val="hr-HR"/>
        </w:rPr>
        <w:t>: Kretanje rashoda državnog proračuna koji se financiraju iz općih prihoda i primitaka, doprinosa i namjenskih primitaka u razdoblju 20</w:t>
      </w:r>
      <w:r w:rsidR="00223521" w:rsidRPr="00D92985">
        <w:rPr>
          <w:i/>
          <w:lang w:val="hr-HR"/>
        </w:rPr>
        <w:t>2</w:t>
      </w:r>
      <w:r w:rsidR="00D92985" w:rsidRPr="00D92985">
        <w:rPr>
          <w:i/>
          <w:lang w:val="hr-HR"/>
        </w:rPr>
        <w:t>4</w:t>
      </w:r>
      <w:r w:rsidR="00223521" w:rsidRPr="00D92985">
        <w:rPr>
          <w:i/>
          <w:lang w:val="hr-HR"/>
        </w:rPr>
        <w:t>. - 202</w:t>
      </w:r>
      <w:r w:rsidR="00D92985" w:rsidRPr="00D92985">
        <w:rPr>
          <w:i/>
          <w:lang w:val="hr-HR"/>
        </w:rPr>
        <w:t>8</w:t>
      </w:r>
      <w:r w:rsidRPr="00D92985">
        <w:rPr>
          <w:i/>
          <w:lang w:val="hr-HR"/>
        </w:rPr>
        <w:t>.</w:t>
      </w:r>
      <w:r w:rsidR="009D478D" w:rsidRPr="00D92985">
        <w:rPr>
          <w:i/>
          <w:lang w:val="hr-HR"/>
        </w:rPr>
        <w:tab/>
      </w:r>
      <w:r w:rsidR="009D478D" w:rsidRPr="00D92985">
        <w:rPr>
          <w:i/>
          <w:lang w:val="hr-HR"/>
        </w:rPr>
        <w:br/>
      </w:r>
      <w:r w:rsidR="00D92985" w:rsidRPr="00D92985">
        <w:rPr>
          <w:rFonts w:cstheme="minorHAnsi"/>
          <w:noProof/>
          <w:lang w:val="hr-HR" w:eastAsia="hr-HR"/>
        </w:rPr>
        <w:drawing>
          <wp:inline distT="0" distB="0" distL="0" distR="0" wp14:anchorId="46882037" wp14:editId="6F48ACBA">
            <wp:extent cx="6346549" cy="1602028"/>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79616" cy="1610375"/>
                    </a:xfrm>
                    <a:prstGeom prst="rect">
                      <a:avLst/>
                    </a:prstGeom>
                    <a:noFill/>
                    <a:ln>
                      <a:noFill/>
                    </a:ln>
                  </pic:spPr>
                </pic:pic>
              </a:graphicData>
            </a:graphic>
          </wp:inline>
        </w:drawing>
      </w:r>
      <w:r w:rsidR="008A4124" w:rsidRPr="00D92985">
        <w:rPr>
          <w:i/>
          <w:lang w:val="hr-HR"/>
        </w:rPr>
        <w:br/>
      </w:r>
      <w:r w:rsidR="00223521" w:rsidRPr="00D92985">
        <w:rPr>
          <w:i/>
          <w:lang w:val="hr-HR"/>
        </w:rPr>
        <w:t>Izvor: Ministarstvo financija</w:t>
      </w:r>
    </w:p>
    <w:p w14:paraId="48FA7DFA" w14:textId="77777777" w:rsidR="009D478D" w:rsidRPr="00D92985" w:rsidRDefault="009D478D">
      <w:pPr>
        <w:rPr>
          <w:i/>
          <w:lang w:val="hr-HR"/>
        </w:rPr>
      </w:pPr>
      <w:r w:rsidRPr="00D92985">
        <w:rPr>
          <w:i/>
          <w:lang w:val="hr-HR"/>
        </w:rPr>
        <w:br w:type="page"/>
      </w:r>
    </w:p>
    <w:p w14:paraId="4CBFB59D" w14:textId="692BF9F7" w:rsidR="00190D86" w:rsidRPr="00EC40C9" w:rsidRDefault="00FA15E4" w:rsidP="009D478D">
      <w:pPr>
        <w:jc w:val="both"/>
        <w:rPr>
          <w:i/>
          <w:lang w:val="hr-HR"/>
        </w:rPr>
      </w:pPr>
      <w:r w:rsidRPr="00EC40C9">
        <w:rPr>
          <w:i/>
          <w:lang w:val="hr-HR"/>
        </w:rPr>
        <w:lastRenderedPageBreak/>
        <w:t xml:space="preserve">Tablica </w:t>
      </w:r>
      <w:r w:rsidRPr="00EC40C9">
        <w:rPr>
          <w:i/>
          <w:lang w:val="hr-HR"/>
        </w:rPr>
        <w:fldChar w:fldCharType="begin"/>
      </w:r>
      <w:r w:rsidRPr="00EC40C9">
        <w:rPr>
          <w:i/>
          <w:lang w:val="hr-HR"/>
        </w:rPr>
        <w:instrText xml:space="preserve"> SEQ Tablica \* ARABIC </w:instrText>
      </w:r>
      <w:r w:rsidRPr="00EC40C9">
        <w:rPr>
          <w:i/>
          <w:lang w:val="hr-HR"/>
        </w:rPr>
        <w:fldChar w:fldCharType="separate"/>
      </w:r>
      <w:r w:rsidR="004953C0">
        <w:rPr>
          <w:i/>
          <w:noProof/>
          <w:lang w:val="hr-HR"/>
        </w:rPr>
        <w:t>8</w:t>
      </w:r>
      <w:r w:rsidRPr="00EC40C9">
        <w:rPr>
          <w:i/>
          <w:lang w:val="hr-HR"/>
        </w:rPr>
        <w:fldChar w:fldCharType="end"/>
      </w:r>
      <w:r w:rsidRPr="00EC40C9">
        <w:rPr>
          <w:i/>
          <w:lang w:val="hr-HR"/>
        </w:rPr>
        <w:t xml:space="preserve">: </w:t>
      </w:r>
      <w:r w:rsidRPr="00EC40C9">
        <w:rPr>
          <w:rFonts w:ascii="Calibri" w:hAnsi="Calibri" w:cs="Calibri"/>
          <w:i/>
          <w:lang w:val="hr-HR"/>
        </w:rPr>
        <w:t>Kretanje rashoda državnog proračuna koji se financiraju iz vlastitih prihoda, prihoda za posebne namjene, pomoći i donacija u razdoblju 20</w:t>
      </w:r>
      <w:r w:rsidR="00223521" w:rsidRPr="00EC40C9">
        <w:rPr>
          <w:rFonts w:ascii="Calibri" w:hAnsi="Calibri" w:cs="Calibri"/>
          <w:i/>
          <w:lang w:val="hr-HR"/>
        </w:rPr>
        <w:t>2</w:t>
      </w:r>
      <w:r w:rsidR="00EC40C9" w:rsidRPr="00EC40C9">
        <w:rPr>
          <w:rFonts w:ascii="Calibri" w:hAnsi="Calibri" w:cs="Calibri"/>
          <w:i/>
          <w:lang w:val="hr-HR"/>
        </w:rPr>
        <w:t>4</w:t>
      </w:r>
      <w:r w:rsidR="00223521" w:rsidRPr="00EC40C9">
        <w:rPr>
          <w:rFonts w:ascii="Calibri" w:hAnsi="Calibri" w:cs="Calibri"/>
          <w:i/>
          <w:lang w:val="hr-HR"/>
        </w:rPr>
        <w:t>.</w:t>
      </w:r>
      <w:r w:rsidRPr="00EC40C9">
        <w:rPr>
          <w:rFonts w:ascii="Calibri" w:hAnsi="Calibri" w:cs="Calibri"/>
          <w:i/>
          <w:lang w:val="hr-HR"/>
        </w:rPr>
        <w:t xml:space="preserve"> </w:t>
      </w:r>
      <w:r w:rsidR="009D478D" w:rsidRPr="00EC40C9">
        <w:rPr>
          <w:rFonts w:ascii="Calibri" w:hAnsi="Calibri" w:cs="Calibri"/>
          <w:i/>
          <w:lang w:val="hr-HR"/>
        </w:rPr>
        <w:t>–</w:t>
      </w:r>
      <w:r w:rsidRPr="00EC40C9">
        <w:rPr>
          <w:rFonts w:ascii="Calibri" w:hAnsi="Calibri" w:cs="Calibri"/>
          <w:i/>
          <w:lang w:val="hr-HR"/>
        </w:rPr>
        <w:t xml:space="preserve"> 202</w:t>
      </w:r>
      <w:r w:rsidR="00EC40C9" w:rsidRPr="00EC40C9">
        <w:rPr>
          <w:rFonts w:ascii="Calibri" w:hAnsi="Calibri" w:cs="Calibri"/>
          <w:i/>
          <w:lang w:val="hr-HR"/>
        </w:rPr>
        <w:t>8.</w:t>
      </w:r>
      <w:r w:rsidR="009D478D" w:rsidRPr="00EC40C9">
        <w:rPr>
          <w:rFonts w:ascii="Calibri" w:hAnsi="Calibri" w:cs="Calibri"/>
          <w:i/>
          <w:lang w:val="hr-HR"/>
        </w:rPr>
        <w:tab/>
      </w:r>
      <w:r w:rsidR="009D478D" w:rsidRPr="00EC40C9">
        <w:rPr>
          <w:rFonts w:ascii="Calibri" w:hAnsi="Calibri" w:cs="Calibri"/>
          <w:i/>
          <w:lang w:val="hr-HR"/>
        </w:rPr>
        <w:br/>
      </w:r>
      <w:r w:rsidR="00EC40C9" w:rsidRPr="00EC40C9">
        <w:rPr>
          <w:rFonts w:cstheme="minorHAnsi"/>
          <w:noProof/>
          <w:lang w:val="hr-HR" w:eastAsia="hr-HR"/>
        </w:rPr>
        <w:drawing>
          <wp:inline distT="0" distB="0" distL="0" distR="0" wp14:anchorId="5217581A" wp14:editId="649BB316">
            <wp:extent cx="5861577" cy="1477671"/>
            <wp:effectExtent l="0" t="0" r="6350" b="8255"/>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12432" cy="1490491"/>
                    </a:xfrm>
                    <a:prstGeom prst="rect">
                      <a:avLst/>
                    </a:prstGeom>
                    <a:noFill/>
                    <a:ln>
                      <a:noFill/>
                    </a:ln>
                  </pic:spPr>
                </pic:pic>
              </a:graphicData>
            </a:graphic>
          </wp:inline>
        </w:drawing>
      </w:r>
      <w:r w:rsidR="008A4124" w:rsidRPr="00EC40C9">
        <w:rPr>
          <w:i/>
          <w:lang w:val="hr-HR"/>
        </w:rPr>
        <w:br/>
      </w:r>
      <w:r w:rsidR="00223521" w:rsidRPr="00EC40C9">
        <w:rPr>
          <w:i/>
          <w:lang w:val="hr-HR"/>
        </w:rPr>
        <w:t>Izvor: Ministarstvo financija</w:t>
      </w:r>
    </w:p>
    <w:p w14:paraId="71A7210C" w14:textId="77777777" w:rsidR="00EC40C9" w:rsidRDefault="00EC40C9" w:rsidP="00EC40C9">
      <w:pPr>
        <w:spacing w:after="0"/>
        <w:jc w:val="both"/>
        <w:rPr>
          <w:rFonts w:cstheme="minorHAnsi"/>
          <w:lang w:val="hr-HR"/>
        </w:rPr>
      </w:pPr>
      <w:bookmarkStart w:id="27" w:name="_Toc445241792"/>
      <w:r w:rsidRPr="004373DF">
        <w:rPr>
          <w:rFonts w:cstheme="minorHAnsi"/>
          <w:lang w:val="hr-HR"/>
        </w:rPr>
        <w:t xml:space="preserve">U nastavku se daje i prikaz kretanja rashoda državnog proračuna u razdoblju 2024. - 2028. po izvorima financiranja. </w:t>
      </w:r>
    </w:p>
    <w:p w14:paraId="33ABC178" w14:textId="77777777" w:rsidR="00EC40C9" w:rsidRPr="004373DF" w:rsidRDefault="00EC40C9" w:rsidP="00EC40C9">
      <w:pPr>
        <w:spacing w:after="0"/>
        <w:jc w:val="both"/>
        <w:rPr>
          <w:rFonts w:cstheme="minorHAnsi"/>
          <w:lang w:val="hr-HR"/>
        </w:rPr>
      </w:pPr>
    </w:p>
    <w:p w14:paraId="5F29F906" w14:textId="0A69E949" w:rsidR="00960F86" w:rsidRPr="007879EE" w:rsidRDefault="00BC27DE" w:rsidP="009D478D">
      <w:pPr>
        <w:spacing w:after="0"/>
        <w:jc w:val="both"/>
        <w:rPr>
          <w:i/>
          <w:highlight w:val="yellow"/>
          <w:lang w:val="hr-HR"/>
        </w:rPr>
      </w:pPr>
      <w:r w:rsidRPr="00EC40C9">
        <w:rPr>
          <w:i/>
          <w:lang w:val="hr-HR"/>
        </w:rPr>
        <w:t xml:space="preserve">Tablica </w:t>
      </w:r>
      <w:r w:rsidRPr="00EC40C9">
        <w:rPr>
          <w:i/>
          <w:lang w:val="hr-HR"/>
        </w:rPr>
        <w:fldChar w:fldCharType="begin"/>
      </w:r>
      <w:r w:rsidRPr="00EC40C9">
        <w:rPr>
          <w:i/>
          <w:lang w:val="hr-HR"/>
        </w:rPr>
        <w:instrText xml:space="preserve"> SEQ Tablica \* ARABIC </w:instrText>
      </w:r>
      <w:r w:rsidRPr="00EC40C9">
        <w:rPr>
          <w:i/>
          <w:lang w:val="hr-HR"/>
        </w:rPr>
        <w:fldChar w:fldCharType="separate"/>
      </w:r>
      <w:r w:rsidR="004953C0">
        <w:rPr>
          <w:i/>
          <w:noProof/>
          <w:lang w:val="hr-HR"/>
        </w:rPr>
        <w:t>9</w:t>
      </w:r>
      <w:r w:rsidRPr="00EC40C9">
        <w:rPr>
          <w:i/>
          <w:lang w:val="hr-HR"/>
        </w:rPr>
        <w:fldChar w:fldCharType="end"/>
      </w:r>
      <w:r w:rsidRPr="00EC40C9">
        <w:rPr>
          <w:i/>
          <w:lang w:val="hr-HR"/>
        </w:rPr>
        <w:t xml:space="preserve">: </w:t>
      </w:r>
      <w:r w:rsidR="00C8194C" w:rsidRPr="00EC40C9">
        <w:rPr>
          <w:i/>
          <w:lang w:val="hr-HR"/>
        </w:rPr>
        <w:t>Kretanje rashoda državnog proračuna u razdoblju 20</w:t>
      </w:r>
      <w:r w:rsidR="00223521" w:rsidRPr="00EC40C9">
        <w:rPr>
          <w:i/>
          <w:lang w:val="hr-HR"/>
        </w:rPr>
        <w:t>2</w:t>
      </w:r>
      <w:r w:rsidR="00EC40C9" w:rsidRPr="00EC40C9">
        <w:rPr>
          <w:i/>
          <w:lang w:val="hr-HR"/>
        </w:rPr>
        <w:t>4</w:t>
      </w:r>
      <w:r w:rsidR="00223521" w:rsidRPr="00EC40C9">
        <w:rPr>
          <w:i/>
          <w:lang w:val="hr-HR"/>
        </w:rPr>
        <w:t>. - 202</w:t>
      </w:r>
      <w:r w:rsidR="00EC40C9" w:rsidRPr="00EC40C9">
        <w:rPr>
          <w:i/>
          <w:lang w:val="hr-HR"/>
        </w:rPr>
        <w:t>8</w:t>
      </w:r>
      <w:r w:rsidR="00C8194C" w:rsidRPr="00EC40C9">
        <w:rPr>
          <w:i/>
          <w:lang w:val="hr-HR"/>
        </w:rPr>
        <w:t>. po izvorima financiranja</w:t>
      </w:r>
      <w:r w:rsidR="008A4124" w:rsidRPr="00EC40C9">
        <w:rPr>
          <w:i/>
          <w:lang w:val="hr-HR"/>
        </w:rPr>
        <w:br/>
      </w:r>
      <w:r w:rsidR="00EC40C9" w:rsidRPr="00EC40C9">
        <w:rPr>
          <w:rFonts w:cstheme="minorHAnsi"/>
          <w:noProof/>
          <w:lang w:val="hr-HR" w:eastAsia="hr-HR"/>
        </w:rPr>
        <w:drawing>
          <wp:inline distT="0" distB="0" distL="0" distR="0" wp14:anchorId="4432446F" wp14:editId="57783050">
            <wp:extent cx="5907357" cy="5501030"/>
            <wp:effectExtent l="0" t="0" r="0" b="444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13186" cy="5506458"/>
                    </a:xfrm>
                    <a:prstGeom prst="rect">
                      <a:avLst/>
                    </a:prstGeom>
                    <a:noFill/>
                    <a:ln>
                      <a:noFill/>
                    </a:ln>
                  </pic:spPr>
                </pic:pic>
              </a:graphicData>
            </a:graphic>
          </wp:inline>
        </w:drawing>
      </w:r>
      <w:r w:rsidR="009D478D" w:rsidRPr="00EC40C9">
        <w:rPr>
          <w:i/>
          <w:lang w:val="hr-HR"/>
        </w:rPr>
        <w:br/>
      </w:r>
      <w:r w:rsidRPr="00EC40C9">
        <w:rPr>
          <w:i/>
          <w:lang w:val="hr-HR"/>
        </w:rPr>
        <w:t>Izvor: Ministarstvo financija</w:t>
      </w:r>
      <w:r w:rsidR="00960F86" w:rsidRPr="007879EE">
        <w:rPr>
          <w:i/>
          <w:highlight w:val="yellow"/>
          <w:lang w:val="hr-HR"/>
        </w:rPr>
        <w:br w:type="page"/>
      </w:r>
    </w:p>
    <w:p w14:paraId="6843529D" w14:textId="77777777" w:rsidR="00695821" w:rsidRPr="0091180E" w:rsidRDefault="007E4D7B" w:rsidP="0029489C">
      <w:pPr>
        <w:pStyle w:val="Heading2"/>
        <w:numPr>
          <w:ilvl w:val="1"/>
          <w:numId w:val="16"/>
        </w:numPr>
        <w:ind w:left="993" w:hanging="567"/>
        <w:rPr>
          <w:sz w:val="22"/>
          <w:szCs w:val="22"/>
          <w:lang w:val="hr-HR"/>
        </w:rPr>
      </w:pPr>
      <w:bookmarkStart w:id="28" w:name="_Toc213857303"/>
      <w:bookmarkEnd w:id="27"/>
      <w:r w:rsidRPr="0091180E">
        <w:rPr>
          <w:sz w:val="22"/>
          <w:szCs w:val="22"/>
          <w:lang w:val="hr-HR"/>
        </w:rPr>
        <w:lastRenderedPageBreak/>
        <w:t>Obrazloženje rashoda po ekonomskoj klasifikaciji</w:t>
      </w:r>
      <w:bookmarkEnd w:id="28"/>
    </w:p>
    <w:p w14:paraId="79C53F67" w14:textId="77777777" w:rsidR="00223521" w:rsidRPr="007879EE" w:rsidRDefault="00223521" w:rsidP="00223521">
      <w:pPr>
        <w:spacing w:after="0" w:line="240" w:lineRule="auto"/>
        <w:jc w:val="both"/>
        <w:rPr>
          <w:b/>
          <w:i/>
          <w:highlight w:val="yellow"/>
          <w:lang w:val="hr-HR"/>
        </w:rPr>
      </w:pPr>
    </w:p>
    <w:p w14:paraId="1F1E419D" w14:textId="77777777" w:rsidR="006A0FFD" w:rsidRPr="007879EE" w:rsidRDefault="006A0FFD" w:rsidP="00223521">
      <w:pPr>
        <w:spacing w:after="0" w:line="240" w:lineRule="auto"/>
        <w:jc w:val="both"/>
        <w:rPr>
          <w:rFonts w:cstheme="minorHAnsi"/>
          <w:highlight w:val="yellow"/>
          <w:lang w:val="hr-HR"/>
        </w:rPr>
      </w:pPr>
    </w:p>
    <w:p w14:paraId="66C7ECCA" w14:textId="77777777" w:rsidR="0091180E" w:rsidRPr="004373DF" w:rsidRDefault="0091180E" w:rsidP="0091180E">
      <w:pPr>
        <w:spacing w:after="0"/>
        <w:jc w:val="both"/>
        <w:rPr>
          <w:rFonts w:cstheme="minorHAnsi"/>
          <w:b/>
          <w:i/>
          <w:lang w:val="hr-HR"/>
        </w:rPr>
      </w:pPr>
      <w:r w:rsidRPr="004373DF">
        <w:rPr>
          <w:rFonts w:cstheme="minorHAnsi"/>
          <w:b/>
          <w:i/>
          <w:lang w:val="hr-HR"/>
        </w:rPr>
        <w:t>Rashodi za zaposlene</w:t>
      </w:r>
    </w:p>
    <w:p w14:paraId="1ED3E989" w14:textId="77777777" w:rsidR="0091180E" w:rsidRPr="004373DF" w:rsidRDefault="0091180E" w:rsidP="0091180E">
      <w:pPr>
        <w:spacing w:after="0"/>
        <w:jc w:val="both"/>
        <w:rPr>
          <w:rFonts w:cstheme="minorHAnsi"/>
          <w:lang w:val="hr-HR"/>
        </w:rPr>
      </w:pPr>
      <w:r w:rsidRPr="004373DF">
        <w:rPr>
          <w:rFonts w:cstheme="minorHAnsi"/>
          <w:lang w:val="hr-HR"/>
        </w:rPr>
        <w:t xml:space="preserve">Ukupni rashodi za zaposlene u 2026. godini planiraju se u iznosu od 6,7 milijardi eura (ne uključujući rashode za zaposlene u osnovnom i srednjem školstvu) i u odnosu na tekući plan 2025. godine bilježe rast od 311,0 milijuna eura. </w:t>
      </w:r>
    </w:p>
    <w:p w14:paraId="42B2F2AE" w14:textId="77777777" w:rsidR="0091180E" w:rsidRPr="004373DF" w:rsidRDefault="0091180E" w:rsidP="0091180E">
      <w:pPr>
        <w:spacing w:after="0"/>
        <w:jc w:val="both"/>
        <w:rPr>
          <w:rFonts w:cstheme="minorHAnsi"/>
          <w:lang w:val="hr-HR"/>
        </w:rPr>
      </w:pPr>
    </w:p>
    <w:p w14:paraId="6614C2BE" w14:textId="77777777" w:rsidR="0091180E" w:rsidRPr="004373DF" w:rsidRDefault="0091180E" w:rsidP="0091180E">
      <w:pPr>
        <w:spacing w:after="0"/>
        <w:jc w:val="both"/>
        <w:rPr>
          <w:rFonts w:cstheme="minorHAnsi"/>
          <w:lang w:val="hr-HR"/>
        </w:rPr>
      </w:pPr>
      <w:r w:rsidRPr="004373DF">
        <w:rPr>
          <w:rFonts w:cstheme="minorHAnsi"/>
          <w:lang w:val="hr-HR"/>
        </w:rPr>
        <w:t xml:space="preserve">Do povećanja ove kategorije rashoda dolazi ponajprije uslijed pune godišnje primjene ugovorenih povećanja osnovice za obračun plaće u državnim i javnim službama. Naime, u prosincu 2024. godine donesene su Odluke o visini osnovice za obračun plaće u državnim i javnim službama kojima se osnovica za izračun plaće od 1. veljače 2025. povećava sa 947,18 eura na 975,60 eura, a od 1. rujna 2025. na 1.004,87 eura. </w:t>
      </w:r>
    </w:p>
    <w:p w14:paraId="457FE271" w14:textId="77777777" w:rsidR="0091180E" w:rsidRPr="004373DF" w:rsidRDefault="0091180E" w:rsidP="0091180E">
      <w:pPr>
        <w:spacing w:after="0"/>
        <w:jc w:val="both"/>
        <w:rPr>
          <w:rFonts w:cstheme="minorHAnsi"/>
          <w:lang w:val="hr-HR"/>
        </w:rPr>
      </w:pPr>
    </w:p>
    <w:p w14:paraId="561EE6B6" w14:textId="77777777" w:rsidR="0091180E" w:rsidRPr="004373DF" w:rsidRDefault="0091180E" w:rsidP="0091180E">
      <w:pPr>
        <w:spacing w:after="0"/>
        <w:jc w:val="both"/>
        <w:rPr>
          <w:rFonts w:cstheme="minorHAnsi"/>
          <w:lang w:val="hr-HR"/>
        </w:rPr>
      </w:pPr>
      <w:r w:rsidRPr="004373DF">
        <w:rPr>
          <w:rFonts w:cstheme="minorHAnsi"/>
          <w:lang w:val="hr-HR"/>
        </w:rPr>
        <w:t xml:space="preserve">U 2027. i 2028. godini ovi rashodi planirani su na razini od 6,8 milijardi eura, odnosno 6,9 milijardi eura. </w:t>
      </w:r>
    </w:p>
    <w:p w14:paraId="7A85AFE7" w14:textId="77777777" w:rsidR="00BC0BFE" w:rsidRPr="007879EE" w:rsidRDefault="00BC0BFE" w:rsidP="00BC0BFE">
      <w:pPr>
        <w:spacing w:after="0" w:line="240" w:lineRule="auto"/>
        <w:jc w:val="both"/>
        <w:rPr>
          <w:rFonts w:cstheme="minorHAnsi"/>
          <w:b/>
          <w:i/>
          <w:highlight w:val="yellow"/>
          <w:lang w:val="hr-HR"/>
        </w:rPr>
      </w:pPr>
    </w:p>
    <w:p w14:paraId="75BA1E4F" w14:textId="77777777" w:rsidR="0091180E" w:rsidRPr="004373DF" w:rsidRDefault="0091180E" w:rsidP="0091180E">
      <w:pPr>
        <w:spacing w:after="0"/>
        <w:jc w:val="both"/>
        <w:rPr>
          <w:rFonts w:cstheme="minorHAnsi"/>
          <w:b/>
          <w:i/>
          <w:lang w:val="hr-HR"/>
        </w:rPr>
      </w:pPr>
      <w:r w:rsidRPr="004373DF">
        <w:rPr>
          <w:rFonts w:cstheme="minorHAnsi"/>
          <w:b/>
          <w:i/>
          <w:lang w:val="hr-HR"/>
        </w:rPr>
        <w:t>Materijalni rashodi</w:t>
      </w:r>
    </w:p>
    <w:p w14:paraId="0029C466" w14:textId="77777777" w:rsidR="0091180E" w:rsidRPr="004373DF" w:rsidRDefault="0091180E" w:rsidP="0091180E">
      <w:pPr>
        <w:spacing w:after="0"/>
        <w:jc w:val="both"/>
        <w:rPr>
          <w:rFonts w:cstheme="minorHAnsi"/>
          <w:lang w:val="hr-HR"/>
        </w:rPr>
      </w:pPr>
      <w:r w:rsidRPr="004373DF">
        <w:rPr>
          <w:rFonts w:cstheme="minorHAnsi"/>
          <w:lang w:val="hr-HR"/>
        </w:rPr>
        <w:t xml:space="preserve">Ukupni materijalni rashodi u 2026. godini planiraju se u iznosu od 4,0 milijardi eura i u odnosu na tekući plan 2025. godine povećavaju se za 232,6 milijuna eura. Navedeno povećanje rezultat je povećanja ove kategorije rashoda financiranih iz općih prihoda i primitaka, doprinosa i namjenskih primitaka za iznos od 97,7 milijuna eura zbog rasta rashoda potrebnih za redovno funkcioniranje sustava obrane. Također, povećavaju se i ovi rashodi financirani iz EU i ostalih izvora za 134,9 milijuna eura i to prvenstveno zbog osiguranja dodatnih sredstava za ustanove u zdravstvu financirane iz prihoda temeljem ugovornog odnosa sa Hrvatskim zavodom za zdravstveno osiguranje. </w:t>
      </w:r>
    </w:p>
    <w:p w14:paraId="5D602EBB" w14:textId="77777777" w:rsidR="0091180E" w:rsidRPr="004373DF" w:rsidRDefault="0091180E" w:rsidP="0091180E">
      <w:pPr>
        <w:spacing w:after="0"/>
        <w:jc w:val="both"/>
        <w:rPr>
          <w:rFonts w:cstheme="minorHAnsi"/>
          <w:lang w:val="hr-HR"/>
        </w:rPr>
      </w:pPr>
    </w:p>
    <w:p w14:paraId="4DEDA62F" w14:textId="77777777" w:rsidR="0091180E" w:rsidRDefault="0091180E" w:rsidP="0091180E">
      <w:pPr>
        <w:spacing w:after="0"/>
        <w:jc w:val="both"/>
        <w:rPr>
          <w:rFonts w:cstheme="minorHAnsi"/>
          <w:lang w:val="hr-HR"/>
        </w:rPr>
      </w:pPr>
      <w:r w:rsidRPr="004373DF">
        <w:rPr>
          <w:rFonts w:cstheme="minorHAnsi"/>
          <w:lang w:val="hr-HR"/>
        </w:rPr>
        <w:t xml:space="preserve">U 2027. i 2028. godini ukupni materijalni rashodi projicirani su na razini od 4,1 milijardu eura, odnosno 4,3 milijarde eura. </w:t>
      </w:r>
    </w:p>
    <w:p w14:paraId="310D30AB" w14:textId="77777777" w:rsidR="0091180E" w:rsidRPr="004373DF" w:rsidRDefault="0091180E" w:rsidP="0091180E">
      <w:pPr>
        <w:spacing w:after="0"/>
        <w:jc w:val="both"/>
        <w:rPr>
          <w:rFonts w:cstheme="minorHAnsi"/>
          <w:lang w:val="hr-HR"/>
        </w:rPr>
      </w:pPr>
    </w:p>
    <w:p w14:paraId="6210D08F" w14:textId="77777777" w:rsidR="0091180E" w:rsidRPr="004373DF" w:rsidRDefault="0091180E" w:rsidP="0091180E">
      <w:pPr>
        <w:spacing w:after="0"/>
        <w:jc w:val="both"/>
        <w:rPr>
          <w:rFonts w:cstheme="minorHAnsi"/>
          <w:b/>
          <w:i/>
          <w:lang w:val="hr-HR"/>
        </w:rPr>
      </w:pPr>
      <w:r w:rsidRPr="004373DF">
        <w:rPr>
          <w:rFonts w:cstheme="minorHAnsi"/>
          <w:b/>
          <w:i/>
          <w:lang w:val="hr-HR"/>
        </w:rPr>
        <w:t>Financijski rashodi</w:t>
      </w:r>
    </w:p>
    <w:p w14:paraId="3A1DDFE2" w14:textId="77777777" w:rsidR="0091180E" w:rsidRDefault="0091180E" w:rsidP="0091180E">
      <w:pPr>
        <w:spacing w:after="0"/>
        <w:jc w:val="both"/>
        <w:rPr>
          <w:rFonts w:cstheme="minorHAnsi"/>
          <w:lang w:val="hr-HR"/>
        </w:rPr>
      </w:pPr>
      <w:r w:rsidRPr="004373DF">
        <w:rPr>
          <w:rFonts w:cstheme="minorHAnsi"/>
          <w:lang w:val="hr-HR"/>
        </w:rPr>
        <w:t>Financijski rashodi, koje čine kamate za izdane vrijednosne papire, kamate za primljene zajmove i ostali financijski rashodi, projicirani su u skladu sa stanjem uvjeta na financijskim tržištima, odnosno troškovima servisiranja javnog duga. Ovi rashodi u 2026. godini planirani su na razini od 1,3 milijarde eura i u odnosu na tekući plan 2025. godine bilježe rast od 69,8 milijuna eura. U 2027. i 2028. godini financijski rashodi projicirani su u iznosu od 1,4 milijarde eura, odnosno 1,5 milijardi eura.</w:t>
      </w:r>
    </w:p>
    <w:p w14:paraId="2722A417" w14:textId="77777777" w:rsidR="0091180E" w:rsidRPr="004373DF" w:rsidRDefault="0091180E" w:rsidP="0091180E">
      <w:pPr>
        <w:spacing w:after="0"/>
        <w:jc w:val="both"/>
        <w:rPr>
          <w:rFonts w:cstheme="minorHAnsi"/>
          <w:lang w:val="hr-HR"/>
        </w:rPr>
      </w:pPr>
    </w:p>
    <w:p w14:paraId="76FDC8AA" w14:textId="77777777" w:rsidR="0091180E" w:rsidRPr="004373DF" w:rsidRDefault="0091180E" w:rsidP="0091180E">
      <w:pPr>
        <w:spacing w:after="0"/>
        <w:jc w:val="both"/>
        <w:rPr>
          <w:rFonts w:cstheme="minorHAnsi"/>
          <w:b/>
          <w:i/>
          <w:lang w:val="hr-HR"/>
        </w:rPr>
      </w:pPr>
      <w:r w:rsidRPr="004373DF">
        <w:rPr>
          <w:rFonts w:cstheme="minorHAnsi"/>
          <w:b/>
          <w:i/>
          <w:lang w:val="hr-HR"/>
        </w:rPr>
        <w:t>Subvencije</w:t>
      </w:r>
    </w:p>
    <w:p w14:paraId="01081873" w14:textId="77777777" w:rsidR="0091180E" w:rsidRPr="004373DF" w:rsidRDefault="0091180E" w:rsidP="0091180E">
      <w:pPr>
        <w:spacing w:after="0"/>
        <w:jc w:val="both"/>
        <w:rPr>
          <w:rFonts w:cstheme="minorHAnsi"/>
          <w:lang w:val="hr-HR"/>
        </w:rPr>
      </w:pPr>
      <w:r w:rsidRPr="004373DF">
        <w:rPr>
          <w:rFonts w:cstheme="minorHAnsi"/>
          <w:lang w:val="hr-HR"/>
        </w:rPr>
        <w:t>Rashodi za subvencije u 2026. godini planiraju se u iznosu od 1,3 milijarde eura te se u odnosu na tekući plan 2025. godine smanjuju za 409,0 milijuna eura. Ovo smanjenje rezultat je najvećim dijelom smanjenja subvencija financiranih iz općih prihoda i primitaka, doprinosa i namjenskih primitaka. Naime, u 2026. godini se uslijed postepene stabilizacije tržišnih cijena energenata smanjuju izdvajanja za subvencioniranje cijene energenata.</w:t>
      </w:r>
    </w:p>
    <w:p w14:paraId="2E9E9C77" w14:textId="77777777" w:rsidR="0091180E" w:rsidRPr="004373DF" w:rsidRDefault="0091180E" w:rsidP="0091180E">
      <w:pPr>
        <w:spacing w:after="0"/>
        <w:jc w:val="both"/>
        <w:rPr>
          <w:rFonts w:cstheme="minorHAnsi"/>
          <w:lang w:val="hr-HR"/>
        </w:rPr>
      </w:pPr>
    </w:p>
    <w:p w14:paraId="15E54CEA" w14:textId="77777777" w:rsidR="0091180E" w:rsidRPr="004373DF" w:rsidRDefault="0091180E" w:rsidP="0091180E">
      <w:pPr>
        <w:spacing w:after="0"/>
        <w:jc w:val="both"/>
        <w:rPr>
          <w:rFonts w:cstheme="minorHAnsi"/>
          <w:lang w:val="hr-HR"/>
        </w:rPr>
      </w:pPr>
      <w:r w:rsidRPr="004373DF">
        <w:rPr>
          <w:rFonts w:cstheme="minorHAnsi"/>
          <w:lang w:val="hr-HR"/>
        </w:rPr>
        <w:t>Ovi rashodi u 2027. i 2028. godini projicirani su na razini od 1,2 milijarde eura godišnje.</w:t>
      </w:r>
    </w:p>
    <w:p w14:paraId="18C45728" w14:textId="77777777" w:rsidR="00BC0BFE" w:rsidRDefault="00BC0BFE" w:rsidP="00BC0BFE">
      <w:pPr>
        <w:spacing w:after="0"/>
        <w:jc w:val="both"/>
        <w:rPr>
          <w:rFonts w:cstheme="minorHAnsi"/>
          <w:highlight w:val="yellow"/>
          <w:lang w:val="hr-HR"/>
        </w:rPr>
      </w:pPr>
    </w:p>
    <w:p w14:paraId="3F5066D2" w14:textId="77777777" w:rsidR="0091180E" w:rsidRPr="007879EE" w:rsidRDefault="0091180E" w:rsidP="00BC0BFE">
      <w:pPr>
        <w:spacing w:after="0"/>
        <w:jc w:val="both"/>
        <w:rPr>
          <w:rFonts w:cstheme="minorHAnsi"/>
          <w:highlight w:val="yellow"/>
          <w:lang w:val="hr-HR"/>
        </w:rPr>
      </w:pPr>
    </w:p>
    <w:p w14:paraId="0A855AD9" w14:textId="77777777" w:rsidR="003F7CCC" w:rsidRPr="004373DF" w:rsidRDefault="003F7CCC" w:rsidP="003F7CCC">
      <w:pPr>
        <w:spacing w:after="0"/>
        <w:jc w:val="both"/>
        <w:rPr>
          <w:rFonts w:cstheme="minorHAnsi"/>
          <w:b/>
          <w:i/>
          <w:lang w:val="hr-HR"/>
        </w:rPr>
      </w:pPr>
      <w:r w:rsidRPr="004373DF">
        <w:rPr>
          <w:rFonts w:cstheme="minorHAnsi"/>
          <w:b/>
          <w:i/>
          <w:lang w:val="hr-HR"/>
        </w:rPr>
        <w:lastRenderedPageBreak/>
        <w:t xml:space="preserve">Pomoći </w:t>
      </w:r>
    </w:p>
    <w:p w14:paraId="38FAFCD1" w14:textId="77777777" w:rsidR="003F7CCC" w:rsidRPr="004373DF" w:rsidRDefault="003F7CCC" w:rsidP="003F7CCC">
      <w:pPr>
        <w:spacing w:after="0"/>
        <w:jc w:val="both"/>
        <w:rPr>
          <w:rFonts w:cstheme="minorHAnsi"/>
          <w:lang w:val="hr-HR"/>
        </w:rPr>
      </w:pPr>
      <w:r w:rsidRPr="004373DF">
        <w:rPr>
          <w:rFonts w:cstheme="minorHAnsi"/>
          <w:lang w:val="hr-HR"/>
        </w:rPr>
        <w:t xml:space="preserve">Rashodi za pomoći državnog proračuna dane u inozemstvo i unutar opće države u 2026. godini planirani su u iznosu od 8,3 milijarde eura te se povećavaju za 793,3 milijuna eura u odnosu na tekući plana 2025. godine. </w:t>
      </w:r>
    </w:p>
    <w:p w14:paraId="0FC1AA6E" w14:textId="77777777" w:rsidR="003F7CCC" w:rsidRPr="004373DF" w:rsidRDefault="003F7CCC" w:rsidP="003F7CCC">
      <w:pPr>
        <w:spacing w:after="0"/>
        <w:jc w:val="both"/>
        <w:rPr>
          <w:rFonts w:cstheme="minorHAnsi"/>
          <w:lang w:val="hr-HR"/>
        </w:rPr>
      </w:pPr>
      <w:r w:rsidRPr="004373DF">
        <w:rPr>
          <w:rFonts w:cstheme="minorHAnsi"/>
          <w:lang w:val="hr-HR"/>
        </w:rPr>
        <w:t>Ovo povećanje najvećim dijelom je rezultat povećanih izdvajanja za:</w:t>
      </w:r>
    </w:p>
    <w:p w14:paraId="13B402E6" w14:textId="77777777" w:rsidR="003F7CCC" w:rsidRPr="004373DF" w:rsidRDefault="003F7CCC" w:rsidP="003F7CCC">
      <w:pPr>
        <w:pStyle w:val="ListParagraph"/>
        <w:numPr>
          <w:ilvl w:val="0"/>
          <w:numId w:val="33"/>
        </w:numPr>
        <w:spacing w:after="0"/>
        <w:ind w:left="426"/>
        <w:jc w:val="both"/>
        <w:rPr>
          <w:rFonts w:cstheme="minorHAnsi"/>
          <w:lang w:val="hr-HR"/>
        </w:rPr>
      </w:pPr>
      <w:r w:rsidRPr="004373DF">
        <w:rPr>
          <w:rFonts w:cstheme="minorHAnsi"/>
          <w:lang w:val="hr-HR"/>
        </w:rPr>
        <w:t>ulaganja u projekte iz EU sredstava kojima se potiče održivi urbani razvoj kroz mehanizam integriranih teritorijalnih ulaganja (ekološki prihvatljivi gradski prijevoz, zelena infrastruktura, gradske knjižnice…; 161,5 milijuna eura),</w:t>
      </w:r>
    </w:p>
    <w:p w14:paraId="7BDFE939" w14:textId="77777777" w:rsidR="003F7CCC" w:rsidRPr="004373DF" w:rsidRDefault="003F7CCC" w:rsidP="003F7CCC">
      <w:pPr>
        <w:pStyle w:val="ListParagraph"/>
        <w:numPr>
          <w:ilvl w:val="0"/>
          <w:numId w:val="33"/>
        </w:numPr>
        <w:spacing w:after="0"/>
        <w:ind w:left="426"/>
        <w:jc w:val="both"/>
        <w:rPr>
          <w:rFonts w:cstheme="minorHAnsi"/>
          <w:lang w:val="hr-HR"/>
        </w:rPr>
      </w:pPr>
      <w:r w:rsidRPr="004373DF">
        <w:rPr>
          <w:rFonts w:cstheme="minorHAnsi"/>
          <w:lang w:val="hr-HR"/>
        </w:rPr>
        <w:t xml:space="preserve">doprinos Republike Hrvatske proračunu Europske unije (146,6 milijuna eura),  </w:t>
      </w:r>
    </w:p>
    <w:p w14:paraId="58032E56" w14:textId="33896F19" w:rsidR="003F7CCC" w:rsidRPr="004373DF" w:rsidRDefault="003F7CCC" w:rsidP="00260AE8">
      <w:pPr>
        <w:pStyle w:val="ListParagraph"/>
        <w:numPr>
          <w:ilvl w:val="0"/>
          <w:numId w:val="33"/>
        </w:numPr>
        <w:spacing w:after="0"/>
        <w:jc w:val="both"/>
        <w:rPr>
          <w:rFonts w:cstheme="minorHAnsi"/>
          <w:lang w:val="hr-HR"/>
        </w:rPr>
      </w:pPr>
      <w:r w:rsidRPr="004373DF">
        <w:rPr>
          <w:rFonts w:cstheme="minorHAnsi"/>
          <w:lang w:val="hr-HR"/>
        </w:rPr>
        <w:t>sanacija štete od potresa (</w:t>
      </w:r>
      <w:r w:rsidR="00260AE8" w:rsidRPr="00260AE8">
        <w:rPr>
          <w:rFonts w:cstheme="minorHAnsi"/>
          <w:lang w:val="hr-HR"/>
        </w:rPr>
        <w:t xml:space="preserve">66,0 </w:t>
      </w:r>
      <w:r w:rsidRPr="004373DF">
        <w:rPr>
          <w:rFonts w:cstheme="minorHAnsi"/>
          <w:lang w:val="hr-HR"/>
        </w:rPr>
        <w:t>milijuna eura),</w:t>
      </w:r>
    </w:p>
    <w:p w14:paraId="0D15722F" w14:textId="77777777" w:rsidR="003F7CCC" w:rsidRPr="004373DF" w:rsidRDefault="003F7CCC" w:rsidP="003F7CCC">
      <w:pPr>
        <w:pStyle w:val="ListParagraph"/>
        <w:numPr>
          <w:ilvl w:val="0"/>
          <w:numId w:val="33"/>
        </w:numPr>
        <w:spacing w:after="0"/>
        <w:ind w:left="426"/>
        <w:jc w:val="both"/>
        <w:rPr>
          <w:rFonts w:cstheme="minorHAnsi"/>
          <w:lang w:val="hr-HR"/>
        </w:rPr>
      </w:pPr>
      <w:r w:rsidRPr="004373DF">
        <w:rPr>
          <w:rFonts w:cstheme="minorHAnsi"/>
          <w:lang w:val="hr-HR"/>
        </w:rPr>
        <w:t>financiranje infrastrukture za provođenje jednosmjenske nastave iz EU sredstava (100,9 milijuna eura),</w:t>
      </w:r>
    </w:p>
    <w:p w14:paraId="0ACA3FDB" w14:textId="77777777" w:rsidR="003F7CCC" w:rsidRPr="004373DF" w:rsidRDefault="003F7CCC" w:rsidP="003F7CCC">
      <w:pPr>
        <w:pStyle w:val="ListParagraph"/>
        <w:numPr>
          <w:ilvl w:val="0"/>
          <w:numId w:val="33"/>
        </w:numPr>
        <w:spacing w:after="0"/>
        <w:ind w:left="426"/>
        <w:jc w:val="both"/>
        <w:rPr>
          <w:rFonts w:cstheme="minorHAnsi"/>
          <w:lang w:val="hr-HR"/>
        </w:rPr>
      </w:pPr>
      <w:r w:rsidRPr="004373DF">
        <w:rPr>
          <w:rFonts w:cstheme="minorHAnsi"/>
          <w:lang w:val="hr-HR"/>
        </w:rPr>
        <w:t>ulaganja u cestovnu infrastrukturu iz EU sredstava (izgradnja tunela Vučevica, izgradnja ceste Solin - Stobreč - Dugi Rat – Omiš, izgradnja treće trake zagrebačke obilaznice Jankomir-Lučko; 66,9 milijuna eura),</w:t>
      </w:r>
    </w:p>
    <w:p w14:paraId="0C0072AD" w14:textId="77777777" w:rsidR="003F7CCC" w:rsidRPr="004373DF" w:rsidRDefault="003F7CCC" w:rsidP="003F7CCC">
      <w:pPr>
        <w:pStyle w:val="ListParagraph"/>
        <w:numPr>
          <w:ilvl w:val="0"/>
          <w:numId w:val="33"/>
        </w:numPr>
        <w:spacing w:after="0"/>
        <w:ind w:left="426"/>
        <w:jc w:val="both"/>
        <w:rPr>
          <w:rFonts w:cstheme="minorHAnsi"/>
          <w:lang w:val="hr-HR"/>
        </w:rPr>
      </w:pPr>
      <w:r w:rsidRPr="004373DF">
        <w:rPr>
          <w:rFonts w:cstheme="minorHAnsi"/>
          <w:lang w:val="hr-HR"/>
        </w:rPr>
        <w:t>elektronički sustav naplate cestarine iz EU sredstava (52,8 milijuna eura),</w:t>
      </w:r>
    </w:p>
    <w:p w14:paraId="083C2095" w14:textId="77777777" w:rsidR="003F7CCC" w:rsidRPr="004373DF" w:rsidRDefault="003F7CCC" w:rsidP="003F7CCC">
      <w:pPr>
        <w:pStyle w:val="ListParagraph"/>
        <w:numPr>
          <w:ilvl w:val="0"/>
          <w:numId w:val="33"/>
        </w:numPr>
        <w:spacing w:after="0"/>
        <w:ind w:left="426"/>
        <w:jc w:val="both"/>
        <w:rPr>
          <w:rFonts w:cstheme="minorHAnsi"/>
          <w:lang w:val="hr-HR"/>
        </w:rPr>
      </w:pPr>
      <w:r w:rsidRPr="004373DF">
        <w:rPr>
          <w:rFonts w:cstheme="minorHAnsi"/>
          <w:lang w:val="hr-HR"/>
        </w:rPr>
        <w:t>energetsku obnovu (48,2 milijuna eura),</w:t>
      </w:r>
    </w:p>
    <w:p w14:paraId="05BA9D6B" w14:textId="77777777" w:rsidR="003F7CCC" w:rsidRPr="004373DF" w:rsidRDefault="003F7CCC" w:rsidP="003F7CCC">
      <w:pPr>
        <w:pStyle w:val="ListParagraph"/>
        <w:numPr>
          <w:ilvl w:val="0"/>
          <w:numId w:val="33"/>
        </w:numPr>
        <w:spacing w:after="0"/>
        <w:ind w:left="426"/>
        <w:jc w:val="both"/>
        <w:rPr>
          <w:rFonts w:cstheme="minorHAnsi"/>
          <w:lang w:val="hr-HR"/>
        </w:rPr>
      </w:pPr>
      <w:r w:rsidRPr="004373DF">
        <w:rPr>
          <w:rFonts w:cstheme="minorHAnsi"/>
          <w:lang w:val="hr-HR"/>
        </w:rPr>
        <w:t>infrastrukturne projekte u turizmu iz EU sredstava (44,1 milijun eura),</w:t>
      </w:r>
    </w:p>
    <w:p w14:paraId="6335C891" w14:textId="77777777" w:rsidR="003F7CCC" w:rsidRPr="004373DF" w:rsidRDefault="003F7CCC" w:rsidP="003F7CCC">
      <w:pPr>
        <w:pStyle w:val="ListParagraph"/>
        <w:numPr>
          <w:ilvl w:val="0"/>
          <w:numId w:val="33"/>
        </w:numPr>
        <w:spacing w:after="0"/>
        <w:ind w:left="426"/>
        <w:jc w:val="both"/>
        <w:rPr>
          <w:rFonts w:cstheme="minorHAnsi"/>
          <w:lang w:val="hr-HR"/>
        </w:rPr>
      </w:pPr>
      <w:r w:rsidRPr="004373DF">
        <w:rPr>
          <w:rFonts w:cstheme="minorHAnsi"/>
          <w:lang w:val="hr-HR"/>
        </w:rPr>
        <w:t>rashode za zaposlene u sektoru školstva (41,5 milijuna eura),</w:t>
      </w:r>
    </w:p>
    <w:p w14:paraId="215C5372" w14:textId="77777777" w:rsidR="003F7CCC" w:rsidRPr="004373DF" w:rsidRDefault="003F7CCC" w:rsidP="003F7CCC">
      <w:pPr>
        <w:pStyle w:val="ListParagraph"/>
        <w:numPr>
          <w:ilvl w:val="0"/>
          <w:numId w:val="33"/>
        </w:numPr>
        <w:spacing w:after="0"/>
        <w:ind w:left="426"/>
        <w:jc w:val="both"/>
        <w:rPr>
          <w:rFonts w:cstheme="minorHAnsi"/>
          <w:lang w:val="hr-HR"/>
        </w:rPr>
      </w:pPr>
      <w:r w:rsidRPr="004373DF">
        <w:rPr>
          <w:rFonts w:cstheme="minorHAnsi"/>
          <w:lang w:val="hr-HR"/>
        </w:rPr>
        <w:t>ulaganja u vodnokomunalne projekte iz EU sredstava (34,2 milijuna eura).</w:t>
      </w:r>
    </w:p>
    <w:p w14:paraId="6DF9FE0C" w14:textId="77777777" w:rsidR="003F7CCC" w:rsidRPr="004373DF" w:rsidRDefault="003F7CCC" w:rsidP="003F7CCC">
      <w:pPr>
        <w:pStyle w:val="ListParagraph"/>
        <w:spacing w:after="0"/>
        <w:ind w:left="426"/>
        <w:jc w:val="both"/>
        <w:rPr>
          <w:rFonts w:cstheme="minorHAnsi"/>
          <w:lang w:val="hr-HR"/>
        </w:rPr>
      </w:pPr>
    </w:p>
    <w:p w14:paraId="2A94170F" w14:textId="77777777" w:rsidR="003F7CCC" w:rsidRPr="004373DF" w:rsidRDefault="003F7CCC" w:rsidP="003F7CCC">
      <w:pPr>
        <w:spacing w:after="0"/>
        <w:jc w:val="both"/>
        <w:rPr>
          <w:rFonts w:cstheme="minorHAnsi"/>
          <w:lang w:val="hr-HR"/>
        </w:rPr>
      </w:pPr>
      <w:r w:rsidRPr="004373DF">
        <w:rPr>
          <w:rFonts w:cstheme="minorHAnsi"/>
          <w:lang w:val="hr-HR"/>
        </w:rPr>
        <w:t>U okviru ove kategorije rashoda planiraju se i sredstva za pomoć fiskalnog izravnanja i decentralizirane funkcije za jedinice lokalne i područne (regionalne) samouprave.</w:t>
      </w:r>
    </w:p>
    <w:p w14:paraId="0E45684E" w14:textId="77777777" w:rsidR="003F7CCC" w:rsidRPr="004373DF" w:rsidRDefault="003F7CCC" w:rsidP="003F7CCC">
      <w:pPr>
        <w:spacing w:after="0"/>
        <w:jc w:val="both"/>
        <w:rPr>
          <w:rFonts w:cstheme="minorHAnsi"/>
          <w:lang w:val="hr-HR"/>
        </w:rPr>
      </w:pPr>
    </w:p>
    <w:p w14:paraId="17BF2140" w14:textId="77777777" w:rsidR="003F7CCC" w:rsidRPr="004373DF" w:rsidRDefault="003F7CCC" w:rsidP="003F7CCC">
      <w:pPr>
        <w:spacing w:after="0"/>
        <w:jc w:val="both"/>
        <w:rPr>
          <w:rFonts w:cstheme="minorHAnsi"/>
          <w:lang w:val="hr-HR"/>
        </w:rPr>
      </w:pPr>
      <w:r w:rsidRPr="004373DF">
        <w:rPr>
          <w:rFonts w:cstheme="minorHAnsi"/>
          <w:lang w:val="hr-HR"/>
        </w:rPr>
        <w:t>U 2027. i 2028. godini ukupne pomoći projicirane su na razini od 7,9 milijardi eura, odnosno 7,1 milijardu eura.</w:t>
      </w:r>
    </w:p>
    <w:p w14:paraId="1A6B4E79" w14:textId="77777777" w:rsidR="00BC0BFE" w:rsidRPr="007879EE" w:rsidRDefault="00BC0BFE" w:rsidP="00BC0BFE">
      <w:pPr>
        <w:spacing w:after="0"/>
        <w:jc w:val="both"/>
        <w:rPr>
          <w:rFonts w:cstheme="minorHAnsi"/>
          <w:highlight w:val="yellow"/>
          <w:lang w:val="hr-HR"/>
        </w:rPr>
      </w:pPr>
    </w:p>
    <w:p w14:paraId="21AE309B" w14:textId="77777777" w:rsidR="001F0BFA" w:rsidRPr="004373DF" w:rsidRDefault="001F0BFA" w:rsidP="001F0BFA">
      <w:pPr>
        <w:spacing w:after="0"/>
        <w:jc w:val="both"/>
        <w:rPr>
          <w:rFonts w:cstheme="minorHAnsi"/>
          <w:b/>
          <w:i/>
          <w:lang w:val="hr-HR"/>
        </w:rPr>
      </w:pPr>
      <w:r w:rsidRPr="004373DF">
        <w:rPr>
          <w:rFonts w:cstheme="minorHAnsi"/>
          <w:b/>
          <w:i/>
          <w:lang w:val="hr-HR"/>
        </w:rPr>
        <w:t xml:space="preserve">Naknade građanima i kućanstvima </w:t>
      </w:r>
    </w:p>
    <w:p w14:paraId="328B6A13" w14:textId="77777777" w:rsidR="001F0BFA" w:rsidRPr="004373DF" w:rsidRDefault="001F0BFA" w:rsidP="001F0BFA">
      <w:pPr>
        <w:spacing w:after="0"/>
        <w:jc w:val="both"/>
        <w:rPr>
          <w:rFonts w:cstheme="minorHAnsi"/>
          <w:lang w:val="hr-HR"/>
        </w:rPr>
      </w:pPr>
      <w:r w:rsidRPr="004373DF">
        <w:rPr>
          <w:rFonts w:cstheme="minorHAnsi"/>
          <w:lang w:val="hr-HR"/>
        </w:rPr>
        <w:t>Naknade građanima i kućanstvima čine i u 2026. godini najznačajniju skupinu rashoda proračuna te se planiraju u iznosu od 13,1 milijardu eura što čini povećanje od 1,1 milijardu eura u odnosu na tekući plan 2025. godine. Ovo povećanje rezultat je povećanih izdvajanja za mirovine (1,0 milijardi eura) uslijed redovnog usklađivanja mirovina i mirovinske reforme, te pune godišnje primjene novog Zakona o mirovinskom osiguranju koji je stupio na snagu 1. srpnja 2025., a propisuje od 1. srpnja 2025.:</w:t>
      </w:r>
    </w:p>
    <w:p w14:paraId="2971247C" w14:textId="77777777" w:rsidR="001F0BFA" w:rsidRPr="004373DF" w:rsidRDefault="001F0BFA" w:rsidP="001F0BFA">
      <w:pPr>
        <w:pStyle w:val="ListParagraph"/>
        <w:numPr>
          <w:ilvl w:val="0"/>
          <w:numId w:val="32"/>
        </w:numPr>
        <w:spacing w:after="0"/>
        <w:ind w:left="709"/>
        <w:jc w:val="both"/>
        <w:rPr>
          <w:rFonts w:cstheme="minorHAnsi"/>
          <w:lang w:val="hr-HR"/>
        </w:rPr>
      </w:pPr>
      <w:r w:rsidRPr="004373DF">
        <w:rPr>
          <w:rFonts w:cstheme="minorHAnsi"/>
          <w:lang w:val="hr-HR"/>
        </w:rPr>
        <w:t xml:space="preserve">promjenu formule usklađivanja mirovina </w:t>
      </w:r>
    </w:p>
    <w:p w14:paraId="74916AC2" w14:textId="77777777" w:rsidR="001F0BFA" w:rsidRPr="004373DF" w:rsidRDefault="001F0BFA" w:rsidP="001F0BFA">
      <w:pPr>
        <w:pStyle w:val="ListParagraph"/>
        <w:numPr>
          <w:ilvl w:val="0"/>
          <w:numId w:val="32"/>
        </w:numPr>
        <w:spacing w:after="0"/>
        <w:ind w:left="709"/>
        <w:jc w:val="both"/>
        <w:rPr>
          <w:rFonts w:cstheme="minorHAnsi"/>
          <w:lang w:val="hr-HR"/>
        </w:rPr>
      </w:pPr>
      <w:r w:rsidRPr="004373DF">
        <w:rPr>
          <w:rFonts w:cstheme="minorHAnsi"/>
          <w:lang w:val="hr-HR"/>
        </w:rPr>
        <w:t>povećanje dodanog staža po djetetu</w:t>
      </w:r>
    </w:p>
    <w:p w14:paraId="09B979C9" w14:textId="77777777" w:rsidR="001F0BFA" w:rsidRPr="004373DF" w:rsidRDefault="001F0BFA" w:rsidP="001F0BFA">
      <w:pPr>
        <w:pStyle w:val="ListParagraph"/>
        <w:numPr>
          <w:ilvl w:val="0"/>
          <w:numId w:val="32"/>
        </w:numPr>
        <w:spacing w:after="0"/>
        <w:ind w:left="709"/>
        <w:jc w:val="both"/>
        <w:rPr>
          <w:rFonts w:cstheme="minorHAnsi"/>
          <w:lang w:val="hr-HR"/>
        </w:rPr>
      </w:pPr>
      <w:r w:rsidRPr="004373DF">
        <w:rPr>
          <w:rFonts w:cstheme="minorHAnsi"/>
          <w:lang w:val="hr-HR"/>
        </w:rPr>
        <w:t xml:space="preserve">redefiniranje bonifikacije mirovina nakon ispunjavanja uvjeta dobi za odlazak u starosnu mirovinu </w:t>
      </w:r>
    </w:p>
    <w:p w14:paraId="2B81B750" w14:textId="77777777" w:rsidR="001F0BFA" w:rsidRPr="004373DF" w:rsidRDefault="001F0BFA" w:rsidP="001F0BFA">
      <w:pPr>
        <w:pStyle w:val="ListParagraph"/>
        <w:numPr>
          <w:ilvl w:val="0"/>
          <w:numId w:val="32"/>
        </w:numPr>
        <w:tabs>
          <w:tab w:val="num" w:pos="1440"/>
        </w:tabs>
        <w:spacing w:after="0"/>
        <w:ind w:left="709"/>
        <w:jc w:val="both"/>
        <w:rPr>
          <w:rFonts w:cstheme="minorHAnsi"/>
          <w:lang w:val="hr-HR"/>
        </w:rPr>
      </w:pPr>
      <w:r w:rsidRPr="004373DF">
        <w:rPr>
          <w:rFonts w:cstheme="minorHAnsi"/>
          <w:lang w:val="hr-HR"/>
        </w:rPr>
        <w:t xml:space="preserve">uvođenje godišnjeg dodatka </w:t>
      </w:r>
    </w:p>
    <w:p w14:paraId="2A6240BF" w14:textId="77777777" w:rsidR="001F0BFA" w:rsidRPr="004373DF" w:rsidRDefault="001F0BFA" w:rsidP="001F0BFA">
      <w:pPr>
        <w:pStyle w:val="ListParagraph"/>
        <w:numPr>
          <w:ilvl w:val="0"/>
          <w:numId w:val="32"/>
        </w:numPr>
        <w:tabs>
          <w:tab w:val="num" w:pos="1440"/>
        </w:tabs>
        <w:spacing w:after="0"/>
        <w:ind w:left="709"/>
        <w:jc w:val="both"/>
        <w:rPr>
          <w:rFonts w:cstheme="minorHAnsi"/>
          <w:lang w:val="hr-HR"/>
        </w:rPr>
      </w:pPr>
      <w:r w:rsidRPr="004373DF">
        <w:rPr>
          <w:rFonts w:cstheme="minorHAnsi"/>
          <w:lang w:val="hr-HR"/>
        </w:rPr>
        <w:t>povećanje najnižih mirovina za 3%</w:t>
      </w:r>
    </w:p>
    <w:p w14:paraId="165A9A35" w14:textId="77777777" w:rsidR="001F0BFA" w:rsidRPr="004373DF" w:rsidRDefault="001F0BFA" w:rsidP="001F0BFA">
      <w:pPr>
        <w:spacing w:after="0"/>
        <w:jc w:val="both"/>
        <w:rPr>
          <w:rFonts w:cstheme="minorHAnsi"/>
          <w:lang w:val="hr-HR"/>
        </w:rPr>
      </w:pPr>
      <w:r w:rsidRPr="004373DF">
        <w:rPr>
          <w:rFonts w:cstheme="minorHAnsi"/>
          <w:lang w:val="hr-HR"/>
        </w:rPr>
        <w:t>te od 1. siječnja 2026.:</w:t>
      </w:r>
    </w:p>
    <w:p w14:paraId="2CDAAD49" w14:textId="77777777" w:rsidR="001F0BFA" w:rsidRPr="004373DF" w:rsidRDefault="001F0BFA" w:rsidP="001F0BFA">
      <w:pPr>
        <w:pStyle w:val="ListParagraph"/>
        <w:numPr>
          <w:ilvl w:val="0"/>
          <w:numId w:val="32"/>
        </w:numPr>
        <w:spacing w:after="0"/>
        <w:ind w:left="709"/>
        <w:jc w:val="both"/>
        <w:rPr>
          <w:rFonts w:cstheme="minorHAnsi"/>
          <w:lang w:val="hr-HR"/>
        </w:rPr>
      </w:pPr>
      <w:r w:rsidRPr="004373DF">
        <w:rPr>
          <w:rFonts w:cstheme="minorHAnsi"/>
          <w:lang w:val="hr-HR"/>
        </w:rPr>
        <w:t>uvođenje mogućnosti rada na puno radno vrijeme uz isplatu 50% mirovine</w:t>
      </w:r>
    </w:p>
    <w:p w14:paraId="5C368EAD" w14:textId="77777777" w:rsidR="001F0BFA" w:rsidRPr="004373DF" w:rsidRDefault="001F0BFA" w:rsidP="001F0BFA">
      <w:pPr>
        <w:pStyle w:val="ListParagraph"/>
        <w:numPr>
          <w:ilvl w:val="0"/>
          <w:numId w:val="32"/>
        </w:numPr>
        <w:spacing w:after="0"/>
        <w:ind w:left="709"/>
        <w:jc w:val="both"/>
        <w:rPr>
          <w:rFonts w:cstheme="minorHAnsi"/>
          <w:lang w:val="hr-HR"/>
        </w:rPr>
      </w:pPr>
      <w:r w:rsidRPr="004373DF">
        <w:rPr>
          <w:rFonts w:cstheme="minorHAnsi"/>
          <w:lang w:val="hr-HR"/>
        </w:rPr>
        <w:t>uvođenje mogućnosti isplate 50% mirovine uz rad za obrtnike i samostalne profesionalne djelatnosti nakon ispunjavanja uvjeta dobi za starosnu mirovinu</w:t>
      </w:r>
    </w:p>
    <w:p w14:paraId="340C75CA" w14:textId="77777777" w:rsidR="001F0BFA" w:rsidRPr="004373DF" w:rsidRDefault="001F0BFA" w:rsidP="001F0BFA">
      <w:pPr>
        <w:pStyle w:val="ListParagraph"/>
        <w:numPr>
          <w:ilvl w:val="0"/>
          <w:numId w:val="32"/>
        </w:numPr>
        <w:spacing w:after="0"/>
        <w:ind w:left="709"/>
        <w:jc w:val="both"/>
        <w:rPr>
          <w:rFonts w:cstheme="minorHAnsi"/>
          <w:lang w:val="hr-HR"/>
        </w:rPr>
      </w:pPr>
      <w:r w:rsidRPr="004373DF">
        <w:rPr>
          <w:rFonts w:cstheme="minorHAnsi"/>
          <w:lang w:val="hr-HR"/>
        </w:rPr>
        <w:t>povećanje mirovinskog faktora za izračun visine invalidske mirovine</w:t>
      </w:r>
    </w:p>
    <w:p w14:paraId="5D0F9249" w14:textId="77777777" w:rsidR="001F0BFA" w:rsidRPr="004373DF" w:rsidRDefault="001F0BFA" w:rsidP="001F0BFA">
      <w:pPr>
        <w:pStyle w:val="ListParagraph"/>
        <w:numPr>
          <w:ilvl w:val="0"/>
          <w:numId w:val="32"/>
        </w:numPr>
        <w:spacing w:after="0"/>
        <w:ind w:left="709"/>
        <w:jc w:val="both"/>
        <w:rPr>
          <w:rFonts w:cstheme="minorHAnsi"/>
          <w:lang w:val="hr-HR"/>
        </w:rPr>
      </w:pPr>
      <w:r w:rsidRPr="004373DF">
        <w:rPr>
          <w:rFonts w:cstheme="minorHAnsi"/>
          <w:lang w:val="hr-HR"/>
        </w:rPr>
        <w:lastRenderedPageBreak/>
        <w:t>ukidanje penalizacije prijevremenih starosnih mirovina nakon navršenih 70 godina života</w:t>
      </w:r>
    </w:p>
    <w:p w14:paraId="396BD46F" w14:textId="77777777" w:rsidR="001F0BFA" w:rsidRPr="004373DF" w:rsidRDefault="001F0BFA" w:rsidP="001F0BFA">
      <w:pPr>
        <w:spacing w:after="0"/>
        <w:jc w:val="both"/>
        <w:rPr>
          <w:rFonts w:cstheme="minorHAnsi"/>
          <w:lang w:val="hr-HR"/>
        </w:rPr>
      </w:pPr>
    </w:p>
    <w:p w14:paraId="78C17EF6" w14:textId="77777777" w:rsidR="001F0BFA" w:rsidRPr="004373DF" w:rsidRDefault="001F0BFA" w:rsidP="001F0BFA">
      <w:pPr>
        <w:tabs>
          <w:tab w:val="num" w:pos="1440"/>
        </w:tabs>
        <w:spacing w:after="0"/>
        <w:jc w:val="both"/>
        <w:rPr>
          <w:rFonts w:cstheme="minorHAnsi"/>
          <w:lang w:val="hr-HR"/>
        </w:rPr>
      </w:pPr>
      <w:r w:rsidRPr="004373DF">
        <w:rPr>
          <w:rFonts w:cstheme="minorHAnsi"/>
          <w:lang w:val="hr-HR"/>
        </w:rPr>
        <w:t>Također, povećavaju se i izdvajanja za dodatni rodiljni dopust za 104,1 milijun eura zbog pune godišnje primjene Izmjena i dopuna Zakona o rodiljnim i roditeljskim potporama kojim je u 2025. godini povećan iznos naknade plaće za vrijeme roditeljskog dopusta za sve zaposlene i samozaposlene roditelje te se udvostručila jednokratna novčana potpora za novorođeno dijete sa 309 eura na 618 eura.</w:t>
      </w:r>
    </w:p>
    <w:p w14:paraId="32309F00" w14:textId="77777777" w:rsidR="001F0BFA" w:rsidRPr="004373DF" w:rsidRDefault="001F0BFA" w:rsidP="001F0BFA">
      <w:pPr>
        <w:tabs>
          <w:tab w:val="num" w:pos="1440"/>
        </w:tabs>
        <w:spacing w:after="0"/>
        <w:jc w:val="both"/>
        <w:rPr>
          <w:rFonts w:cstheme="minorHAnsi"/>
          <w:lang w:val="hr-HR"/>
        </w:rPr>
      </w:pPr>
    </w:p>
    <w:p w14:paraId="0E5091C1" w14:textId="77777777" w:rsidR="001F0BFA" w:rsidRPr="004373DF" w:rsidRDefault="001F0BFA" w:rsidP="001F0BFA">
      <w:pPr>
        <w:tabs>
          <w:tab w:val="num" w:pos="1440"/>
        </w:tabs>
        <w:spacing w:after="0"/>
        <w:jc w:val="both"/>
        <w:rPr>
          <w:rFonts w:cstheme="minorHAnsi"/>
          <w:lang w:val="hr-HR"/>
        </w:rPr>
      </w:pPr>
      <w:r w:rsidRPr="004373DF">
        <w:rPr>
          <w:rFonts w:cstheme="minorHAnsi"/>
          <w:lang w:val="hr-HR"/>
        </w:rPr>
        <w:t>Unutar ove kategorije rashoda i dalje su planirana sredstva za godišnji dodatak korisnicima mirovine u iznosu od 210,1 milijun eura godišnje.</w:t>
      </w:r>
    </w:p>
    <w:p w14:paraId="43F448EB" w14:textId="77777777" w:rsidR="001F0BFA" w:rsidRPr="004373DF" w:rsidRDefault="001F0BFA" w:rsidP="001F0BFA">
      <w:pPr>
        <w:tabs>
          <w:tab w:val="num" w:pos="1440"/>
        </w:tabs>
        <w:spacing w:after="0"/>
        <w:jc w:val="both"/>
        <w:rPr>
          <w:rFonts w:cstheme="minorHAnsi"/>
          <w:lang w:val="hr-HR"/>
        </w:rPr>
      </w:pPr>
    </w:p>
    <w:p w14:paraId="0D9E34DE" w14:textId="77777777" w:rsidR="001F0BFA" w:rsidRPr="004373DF" w:rsidRDefault="001F0BFA" w:rsidP="001F0BFA">
      <w:pPr>
        <w:spacing w:after="0"/>
        <w:jc w:val="both"/>
        <w:rPr>
          <w:rFonts w:cstheme="minorHAnsi"/>
          <w:lang w:val="hr-HR"/>
        </w:rPr>
      </w:pPr>
      <w:r w:rsidRPr="004373DF">
        <w:rPr>
          <w:rFonts w:cstheme="minorHAnsi"/>
          <w:lang w:val="hr-HR"/>
        </w:rPr>
        <w:t>U 2027. godini ovi rashodi bilježe daljnji rast i projicirani su na razini od 13,4 milijarde eura, dok se u 2028. očekuju na razini od 13,7 milijardi eura.</w:t>
      </w:r>
    </w:p>
    <w:p w14:paraId="095EE5CB" w14:textId="77777777" w:rsidR="00BC0BFE" w:rsidRPr="007879EE" w:rsidRDefault="00BC0BFE" w:rsidP="00BC0BFE">
      <w:pPr>
        <w:spacing w:after="0"/>
        <w:jc w:val="both"/>
        <w:rPr>
          <w:rFonts w:cstheme="minorHAnsi"/>
          <w:sz w:val="24"/>
          <w:szCs w:val="24"/>
          <w:highlight w:val="yellow"/>
          <w:lang w:val="hr-HR"/>
        </w:rPr>
      </w:pPr>
    </w:p>
    <w:p w14:paraId="18A2589E" w14:textId="77777777" w:rsidR="003F4E6B" w:rsidRPr="004373DF" w:rsidRDefault="003F4E6B" w:rsidP="003F4E6B">
      <w:pPr>
        <w:spacing w:after="0"/>
        <w:jc w:val="both"/>
        <w:rPr>
          <w:rFonts w:cstheme="minorHAnsi"/>
          <w:b/>
          <w:i/>
          <w:lang w:val="hr-HR"/>
        </w:rPr>
      </w:pPr>
      <w:r w:rsidRPr="004373DF">
        <w:rPr>
          <w:rFonts w:cstheme="minorHAnsi"/>
          <w:b/>
          <w:i/>
          <w:lang w:val="hr-HR"/>
        </w:rPr>
        <w:t>Rashodi za donacije, kazne, naknade šteta i kapitalne pomoći</w:t>
      </w:r>
    </w:p>
    <w:p w14:paraId="272E5DE5" w14:textId="77777777" w:rsidR="003F4E6B" w:rsidRPr="004373DF" w:rsidRDefault="003F4E6B" w:rsidP="003F4E6B">
      <w:pPr>
        <w:spacing w:after="0"/>
        <w:jc w:val="both"/>
        <w:rPr>
          <w:rFonts w:cstheme="minorHAnsi"/>
          <w:lang w:val="hr-HR"/>
        </w:rPr>
      </w:pPr>
      <w:r w:rsidRPr="004373DF">
        <w:rPr>
          <w:rFonts w:cstheme="minorHAnsi"/>
          <w:lang w:val="hr-HR"/>
        </w:rPr>
        <w:t>Ovi rashodi u 2026. godini planirani su u iznosu od 2,1 milijardu eura, odnosno 146,6 milijuna eura više u odnosu na tekući plan 2025. godine. Ovo povećanje rezultat je financiranja  provedbe projekata:</w:t>
      </w:r>
    </w:p>
    <w:p w14:paraId="38D4F262" w14:textId="77777777" w:rsidR="003F4E6B" w:rsidRPr="004373DF" w:rsidRDefault="003F4E6B" w:rsidP="003F4E6B">
      <w:pPr>
        <w:pStyle w:val="ListParagraph"/>
        <w:numPr>
          <w:ilvl w:val="0"/>
          <w:numId w:val="35"/>
        </w:numPr>
        <w:spacing w:after="0"/>
        <w:jc w:val="both"/>
        <w:rPr>
          <w:rFonts w:cstheme="minorHAnsi"/>
          <w:lang w:val="hr-HR"/>
        </w:rPr>
      </w:pPr>
      <w:r w:rsidRPr="004373DF">
        <w:rPr>
          <w:rFonts w:cstheme="minorHAnsi"/>
          <w:lang w:val="hr-HR"/>
        </w:rPr>
        <w:t xml:space="preserve">energetske održivosti koji uključuju izgradnju plinovoda, modernizacija i dogradnja elektroenergetskog sustava te ekološki prihvatljivije oblike prometa bazirane na vodiku, </w:t>
      </w:r>
    </w:p>
    <w:p w14:paraId="5C636B6C" w14:textId="77777777" w:rsidR="003F4E6B" w:rsidRPr="004373DF" w:rsidRDefault="003F4E6B" w:rsidP="003F4E6B">
      <w:pPr>
        <w:pStyle w:val="ListParagraph"/>
        <w:numPr>
          <w:ilvl w:val="0"/>
          <w:numId w:val="34"/>
        </w:numPr>
        <w:spacing w:after="0"/>
        <w:jc w:val="both"/>
        <w:rPr>
          <w:rFonts w:cstheme="minorHAnsi"/>
          <w:lang w:val="hr-HR"/>
        </w:rPr>
      </w:pPr>
      <w:r w:rsidRPr="004373DF">
        <w:rPr>
          <w:rFonts w:cstheme="minorHAnsi"/>
          <w:lang w:val="hr-HR"/>
        </w:rPr>
        <w:t>vodnokomunalnih projekata,</w:t>
      </w:r>
    </w:p>
    <w:p w14:paraId="6D1CF58F" w14:textId="77777777" w:rsidR="003F4E6B" w:rsidRPr="004373DF" w:rsidRDefault="003F4E6B" w:rsidP="003F4E6B">
      <w:pPr>
        <w:pStyle w:val="ListParagraph"/>
        <w:numPr>
          <w:ilvl w:val="0"/>
          <w:numId w:val="34"/>
        </w:numPr>
        <w:spacing w:after="0"/>
        <w:jc w:val="both"/>
        <w:rPr>
          <w:rFonts w:cstheme="minorHAnsi"/>
          <w:lang w:val="hr-HR"/>
        </w:rPr>
      </w:pPr>
      <w:r w:rsidRPr="004373DF">
        <w:rPr>
          <w:rFonts w:cstheme="minorHAnsi"/>
          <w:lang w:val="hr-HR"/>
        </w:rPr>
        <w:t>centara za gospodarenje otpadom,</w:t>
      </w:r>
    </w:p>
    <w:p w14:paraId="0B055B4D" w14:textId="77777777" w:rsidR="003F4E6B" w:rsidRPr="004373DF" w:rsidRDefault="003F4E6B" w:rsidP="003F4E6B">
      <w:pPr>
        <w:pStyle w:val="ListParagraph"/>
        <w:numPr>
          <w:ilvl w:val="0"/>
          <w:numId w:val="34"/>
        </w:numPr>
        <w:spacing w:after="0"/>
        <w:jc w:val="both"/>
        <w:rPr>
          <w:rFonts w:cstheme="minorHAnsi"/>
          <w:lang w:val="hr-HR"/>
        </w:rPr>
      </w:pPr>
      <w:r w:rsidRPr="004373DF">
        <w:rPr>
          <w:rFonts w:cstheme="minorHAnsi"/>
          <w:lang w:val="hr-HR"/>
        </w:rPr>
        <w:t xml:space="preserve">razvoja širokopojasnog pristupa internetu i </w:t>
      </w:r>
    </w:p>
    <w:p w14:paraId="678C3F42" w14:textId="77777777" w:rsidR="003F4E6B" w:rsidRPr="004373DF" w:rsidRDefault="003F4E6B" w:rsidP="003F4E6B">
      <w:pPr>
        <w:pStyle w:val="ListParagraph"/>
        <w:numPr>
          <w:ilvl w:val="0"/>
          <w:numId w:val="34"/>
        </w:numPr>
        <w:spacing w:after="0"/>
        <w:jc w:val="both"/>
        <w:rPr>
          <w:rFonts w:cstheme="minorHAnsi"/>
          <w:lang w:val="hr-HR"/>
        </w:rPr>
      </w:pPr>
      <w:r w:rsidRPr="004373DF">
        <w:rPr>
          <w:rFonts w:cstheme="minorHAnsi"/>
          <w:lang w:val="hr-HR"/>
        </w:rPr>
        <w:t>razvoja lučke infrastrukture</w:t>
      </w:r>
    </w:p>
    <w:p w14:paraId="0A63C037" w14:textId="77777777" w:rsidR="003F4E6B" w:rsidRPr="004373DF" w:rsidRDefault="003F4E6B" w:rsidP="003F4E6B">
      <w:pPr>
        <w:spacing w:after="0"/>
        <w:jc w:val="both"/>
        <w:rPr>
          <w:rFonts w:cstheme="minorHAnsi"/>
          <w:lang w:val="hr-HR"/>
        </w:rPr>
      </w:pPr>
      <w:r w:rsidRPr="004373DF">
        <w:rPr>
          <w:rFonts w:cstheme="minorHAnsi"/>
          <w:lang w:val="hr-HR"/>
        </w:rPr>
        <w:t xml:space="preserve">iz EU sredstva. Također, ovo povećanje rezultat je i povećanih izdvajanja za sanaciju štete od potresa. </w:t>
      </w:r>
    </w:p>
    <w:p w14:paraId="2FD1AD69" w14:textId="77777777" w:rsidR="003F4E6B" w:rsidRPr="004373DF" w:rsidRDefault="003F4E6B" w:rsidP="003F4E6B">
      <w:pPr>
        <w:spacing w:after="0"/>
        <w:jc w:val="both"/>
        <w:rPr>
          <w:rFonts w:cstheme="minorHAnsi"/>
          <w:lang w:val="hr-HR"/>
        </w:rPr>
      </w:pPr>
    </w:p>
    <w:p w14:paraId="19F66E29" w14:textId="77777777" w:rsidR="003F4E6B" w:rsidRPr="004373DF" w:rsidRDefault="003F4E6B" w:rsidP="003F4E6B">
      <w:pPr>
        <w:spacing w:after="0"/>
        <w:jc w:val="both"/>
        <w:rPr>
          <w:rFonts w:cstheme="minorHAnsi"/>
          <w:lang w:val="hr-HR"/>
        </w:rPr>
      </w:pPr>
      <w:r w:rsidRPr="004373DF">
        <w:rPr>
          <w:rFonts w:cstheme="minorHAnsi"/>
          <w:lang w:val="hr-HR"/>
        </w:rPr>
        <w:t>U 2027. i 2028. godini ovi rashodi projicirani su na razini od 2,0 milijardi eura odnosno 1,6 milijardi eura.</w:t>
      </w:r>
    </w:p>
    <w:p w14:paraId="1DECECA5" w14:textId="77777777" w:rsidR="00BC0BFE" w:rsidRPr="007879EE" w:rsidRDefault="00BC0BFE" w:rsidP="00BC0BFE">
      <w:pPr>
        <w:spacing w:after="0"/>
        <w:jc w:val="both"/>
        <w:rPr>
          <w:rFonts w:cstheme="minorHAnsi"/>
          <w:highlight w:val="yellow"/>
          <w:lang w:val="hr-HR"/>
        </w:rPr>
      </w:pPr>
    </w:p>
    <w:p w14:paraId="253F2FF0" w14:textId="77777777" w:rsidR="00C8594E" w:rsidRPr="004373DF" w:rsidRDefault="00C8594E" w:rsidP="00C8594E">
      <w:pPr>
        <w:spacing w:after="0"/>
        <w:jc w:val="both"/>
        <w:rPr>
          <w:rFonts w:cstheme="minorHAnsi"/>
          <w:b/>
          <w:lang w:val="hr-HR"/>
        </w:rPr>
      </w:pPr>
      <w:r w:rsidRPr="004373DF">
        <w:rPr>
          <w:rFonts w:cstheme="minorHAnsi"/>
          <w:b/>
          <w:lang w:val="hr-HR"/>
        </w:rPr>
        <w:t>Rashodi za nabavu nefinancijske imovine</w:t>
      </w:r>
    </w:p>
    <w:p w14:paraId="041ED44C" w14:textId="77777777" w:rsidR="00C8594E" w:rsidRPr="004373DF" w:rsidRDefault="00C8594E" w:rsidP="00C8594E">
      <w:pPr>
        <w:spacing w:after="0"/>
        <w:jc w:val="both"/>
        <w:rPr>
          <w:rFonts w:cstheme="minorHAnsi"/>
          <w:color w:val="000000"/>
          <w:lang w:val="hr-HR"/>
        </w:rPr>
      </w:pPr>
      <w:r w:rsidRPr="004373DF">
        <w:rPr>
          <w:rFonts w:cstheme="minorHAnsi"/>
          <w:color w:val="000000"/>
          <w:lang w:val="hr-HR"/>
        </w:rPr>
        <w:t xml:space="preserve">Rashodi za nabavu nefinancijske imovine u 2026. godini planirani su u iznosu od 3,0 milijarde eura i u odnosu na tekući plan 2025. godine rastu za 806,5 milijuna eura. Ova razina rashoda rezultat je rasta ove kategorije rashoda </w:t>
      </w:r>
      <w:r w:rsidRPr="004373DF">
        <w:rPr>
          <w:rFonts w:cstheme="minorHAnsi"/>
          <w:lang w:val="hr-HR"/>
        </w:rPr>
        <w:t xml:space="preserve">koji se financiraju iz općih prihoda i primitaka, doprinosa i namjenskih primitaka (728,2 milijuna eura) i </w:t>
      </w:r>
      <w:r w:rsidRPr="004373DF">
        <w:rPr>
          <w:rFonts w:cstheme="minorHAnsi"/>
          <w:color w:val="000000"/>
          <w:lang w:val="hr-HR"/>
        </w:rPr>
        <w:t xml:space="preserve">rashoda </w:t>
      </w:r>
      <w:r w:rsidRPr="004373DF">
        <w:rPr>
          <w:rFonts w:cstheme="minorHAnsi"/>
          <w:lang w:val="hr-HR"/>
        </w:rPr>
        <w:t>koji se financiraju iz EU i ostalih izvora financiranja (78,3 milijuna eura).</w:t>
      </w:r>
    </w:p>
    <w:p w14:paraId="2DC30D60" w14:textId="77777777" w:rsidR="00C8594E" w:rsidRPr="004373DF" w:rsidRDefault="00C8594E" w:rsidP="00C8594E">
      <w:pPr>
        <w:spacing w:after="0"/>
        <w:jc w:val="both"/>
        <w:rPr>
          <w:rFonts w:cstheme="minorHAnsi"/>
          <w:color w:val="000000"/>
          <w:lang w:val="hr-HR"/>
        </w:rPr>
      </w:pPr>
    </w:p>
    <w:p w14:paraId="2EE4E455" w14:textId="77777777" w:rsidR="00C8594E" w:rsidRPr="004373DF" w:rsidRDefault="00C8594E" w:rsidP="00C8594E">
      <w:pPr>
        <w:spacing w:after="0"/>
        <w:jc w:val="both"/>
        <w:rPr>
          <w:rFonts w:cstheme="minorHAnsi"/>
          <w:lang w:val="hr-HR"/>
        </w:rPr>
      </w:pPr>
      <w:r w:rsidRPr="004373DF">
        <w:rPr>
          <w:rFonts w:cstheme="minorHAnsi"/>
          <w:color w:val="000000"/>
          <w:lang w:val="hr-HR"/>
        </w:rPr>
        <w:t xml:space="preserve">Porast ove kategorije rashoda najvećim dijelom rezultat je povećanih </w:t>
      </w:r>
      <w:r w:rsidRPr="004373DF">
        <w:rPr>
          <w:rFonts w:cstheme="minorHAnsi"/>
          <w:lang w:val="hr-HR"/>
        </w:rPr>
        <w:t>izdvajanja za kapitalne investicije u zdravstvenu infrastrukturu, investicije vezane uz upravljanje i zaštitu državnih granica, investicije u okviru pravosudnog sustava i digitalizaciju sustava javne uprave, opremanje hrvatske vojske (nabava topničkog sustava HIMARS, bezposadnih letjelica Baryaktar, helikoptera Black Hawk, sustava protuzračne obrane, borbenih vozila pješaštva Bradley, opremanje borbenim tenkovima Leopard i nabava informacijsko-komunikacijske opreme), ulaganje u znanstveno-istraživačku djelatnost, digitalizaciju ustanova visokog obrazovanja te izgradnju i opremanje braniteljskih i veteranskih centara.</w:t>
      </w:r>
    </w:p>
    <w:p w14:paraId="1E185D29" w14:textId="77777777" w:rsidR="00C8594E" w:rsidRPr="004373DF" w:rsidRDefault="00C8594E" w:rsidP="00C8594E">
      <w:pPr>
        <w:spacing w:after="0"/>
        <w:jc w:val="both"/>
        <w:rPr>
          <w:rFonts w:cstheme="minorHAnsi"/>
          <w:lang w:val="hr-HR"/>
        </w:rPr>
      </w:pPr>
      <w:r w:rsidRPr="004373DF">
        <w:rPr>
          <w:rFonts w:cstheme="minorHAnsi"/>
          <w:lang w:val="hr-HR"/>
        </w:rPr>
        <w:t xml:space="preserve"> </w:t>
      </w:r>
    </w:p>
    <w:p w14:paraId="27BA9DED" w14:textId="77777777" w:rsidR="00C8594E" w:rsidRPr="004373DF" w:rsidRDefault="00C8594E" w:rsidP="00C8594E">
      <w:pPr>
        <w:spacing w:after="0"/>
        <w:jc w:val="both"/>
        <w:rPr>
          <w:rFonts w:cstheme="minorHAnsi"/>
          <w:color w:val="000000"/>
          <w:lang w:val="hr-HR"/>
        </w:rPr>
      </w:pPr>
      <w:r w:rsidRPr="004373DF">
        <w:rPr>
          <w:rFonts w:cstheme="minorHAnsi"/>
          <w:color w:val="000000"/>
          <w:lang w:val="hr-HR"/>
        </w:rPr>
        <w:t>U 2027. i 2028. godini ovi rashodi predviđaju se u iznosu od 2,9 milijardi eura, odnosno 2,5 milijardi eura.</w:t>
      </w:r>
    </w:p>
    <w:p w14:paraId="3D495122" w14:textId="77777777" w:rsidR="00223521" w:rsidRPr="007879EE" w:rsidRDefault="00223521" w:rsidP="00095377">
      <w:pPr>
        <w:spacing w:after="120"/>
        <w:jc w:val="both"/>
        <w:rPr>
          <w:highlight w:val="yellow"/>
          <w:lang w:val="hr-HR"/>
        </w:rPr>
      </w:pPr>
    </w:p>
    <w:p w14:paraId="40BA5C7E" w14:textId="77777777" w:rsidR="00695821" w:rsidRPr="005D69F0" w:rsidRDefault="00695821" w:rsidP="0029489C">
      <w:pPr>
        <w:pStyle w:val="Heading2"/>
        <w:numPr>
          <w:ilvl w:val="1"/>
          <w:numId w:val="16"/>
        </w:numPr>
        <w:ind w:left="993" w:hanging="567"/>
        <w:rPr>
          <w:lang w:val="hr-HR"/>
        </w:rPr>
      </w:pPr>
      <w:bookmarkStart w:id="29" w:name="_Toc213857304"/>
      <w:r w:rsidRPr="005D69F0">
        <w:rPr>
          <w:lang w:val="hr-HR"/>
        </w:rPr>
        <w:lastRenderedPageBreak/>
        <w:t>Obrazloženje rashoda po funkcijskoj klasifikaciji</w:t>
      </w:r>
      <w:bookmarkEnd w:id="29"/>
    </w:p>
    <w:p w14:paraId="487B3121" w14:textId="77777777" w:rsidR="00033D9E" w:rsidRPr="007879EE" w:rsidRDefault="00033D9E" w:rsidP="00D668A6">
      <w:pPr>
        <w:pStyle w:val="Default"/>
        <w:spacing w:after="200" w:line="276" w:lineRule="auto"/>
        <w:jc w:val="both"/>
        <w:rPr>
          <w:rFonts w:asciiTheme="minorHAnsi" w:hAnsiTheme="minorHAnsi"/>
          <w:color w:val="auto"/>
          <w:sz w:val="22"/>
          <w:szCs w:val="22"/>
          <w:highlight w:val="yellow"/>
        </w:rPr>
      </w:pPr>
      <w:bookmarkStart w:id="30" w:name="_Toc445241796"/>
    </w:p>
    <w:bookmarkEnd w:id="30"/>
    <w:p w14:paraId="39189349" w14:textId="77777777" w:rsidR="005D69F0" w:rsidRPr="004373DF" w:rsidRDefault="005D69F0" w:rsidP="005D69F0">
      <w:pPr>
        <w:spacing w:after="0"/>
        <w:jc w:val="both"/>
        <w:rPr>
          <w:rFonts w:cstheme="minorHAnsi"/>
          <w:color w:val="000000"/>
          <w:lang w:val="hr-HR" w:eastAsia="hr-HR"/>
        </w:rPr>
      </w:pPr>
      <w:r w:rsidRPr="004373DF">
        <w:rPr>
          <w:rFonts w:cstheme="minorHAnsi"/>
          <w:lang w:val="hr-HR" w:eastAsia="hr-HR"/>
        </w:rPr>
        <w:t xml:space="preserve">S ciljem daljnjeg povećanja transparentnosti korištenja proračunskih sredstava u </w:t>
      </w:r>
      <w:r w:rsidRPr="004373DF">
        <w:rPr>
          <w:rFonts w:cstheme="minorHAnsi"/>
          <w:color w:val="000000"/>
          <w:lang w:val="hr-HR" w:eastAsia="hr-HR"/>
        </w:rPr>
        <w:t xml:space="preserve">nastavku se u okviru obrazloženja rashoda državnog proračuna, daje i prikaz rashoda po funkcijskoj klasifikaciji. </w:t>
      </w:r>
    </w:p>
    <w:p w14:paraId="7ED71841" w14:textId="77777777" w:rsidR="00223521" w:rsidRPr="007879EE" w:rsidRDefault="00223521" w:rsidP="00223521">
      <w:pPr>
        <w:spacing w:after="0" w:line="240" w:lineRule="auto"/>
        <w:jc w:val="both"/>
        <w:rPr>
          <w:rFonts w:ascii="Calibri" w:hAnsi="Calibri" w:cs="Calibri"/>
          <w:color w:val="000000"/>
          <w:highlight w:val="yellow"/>
          <w:lang w:val="hr-HR" w:eastAsia="hr-HR"/>
        </w:rPr>
      </w:pPr>
    </w:p>
    <w:p w14:paraId="1CCA736C" w14:textId="77777777" w:rsidR="00223521" w:rsidRPr="005D69F0" w:rsidRDefault="00223521" w:rsidP="009D478D">
      <w:pPr>
        <w:spacing w:after="0"/>
        <w:jc w:val="both"/>
        <w:rPr>
          <w:rFonts w:ascii="Calibri" w:hAnsi="Calibri" w:cs="Calibri"/>
          <w:lang w:val="hr-HR"/>
        </w:rPr>
      </w:pPr>
      <w:r w:rsidRPr="005D69F0">
        <w:rPr>
          <w:rFonts w:ascii="Calibri" w:hAnsi="Calibri" w:cs="Calibri"/>
          <w:i/>
          <w:lang w:val="hr-HR"/>
        </w:rPr>
        <w:t xml:space="preserve">Tablica </w:t>
      </w:r>
      <w:r w:rsidR="00674659" w:rsidRPr="005D69F0">
        <w:rPr>
          <w:rFonts w:ascii="Calibri" w:hAnsi="Calibri" w:cs="Calibri"/>
          <w:i/>
          <w:lang w:val="hr-HR"/>
        </w:rPr>
        <w:t>10</w:t>
      </w:r>
      <w:r w:rsidRPr="005D69F0">
        <w:rPr>
          <w:rFonts w:ascii="Calibri" w:hAnsi="Calibri" w:cs="Calibri"/>
          <w:i/>
          <w:lang w:val="hr-HR"/>
        </w:rPr>
        <w:t>: Kretanje rashoda državnog proračuna u razdoblju 202</w:t>
      </w:r>
      <w:r w:rsidR="005D69F0" w:rsidRPr="005D69F0">
        <w:rPr>
          <w:rFonts w:ascii="Calibri" w:hAnsi="Calibri" w:cs="Calibri"/>
          <w:i/>
          <w:lang w:val="hr-HR"/>
        </w:rPr>
        <w:t>4</w:t>
      </w:r>
      <w:r w:rsidRPr="005D69F0">
        <w:rPr>
          <w:rFonts w:ascii="Calibri" w:hAnsi="Calibri" w:cs="Calibri"/>
          <w:i/>
          <w:lang w:val="hr-HR"/>
        </w:rPr>
        <w:t>. - 202</w:t>
      </w:r>
      <w:r w:rsidR="005D69F0" w:rsidRPr="005D69F0">
        <w:rPr>
          <w:rFonts w:ascii="Calibri" w:hAnsi="Calibri" w:cs="Calibri"/>
          <w:i/>
          <w:lang w:val="hr-HR"/>
        </w:rPr>
        <w:t>8</w:t>
      </w:r>
      <w:r w:rsidRPr="005D69F0">
        <w:rPr>
          <w:rFonts w:ascii="Calibri" w:hAnsi="Calibri" w:cs="Calibri"/>
          <w:i/>
          <w:lang w:val="hr-HR"/>
        </w:rPr>
        <w:t>. po funkcijskoj klasifikaciji</w:t>
      </w:r>
      <w:r w:rsidR="009D478D" w:rsidRPr="005D69F0">
        <w:rPr>
          <w:rFonts w:ascii="Calibri" w:hAnsi="Calibri" w:cs="Calibri"/>
          <w:i/>
          <w:lang w:val="hr-HR"/>
        </w:rPr>
        <w:br/>
      </w:r>
      <w:r w:rsidR="005D69F0" w:rsidRPr="005D69F0">
        <w:rPr>
          <w:rFonts w:cstheme="minorHAnsi"/>
          <w:noProof/>
          <w:lang w:val="hr-HR" w:eastAsia="hr-HR"/>
        </w:rPr>
        <w:drawing>
          <wp:inline distT="0" distB="0" distL="0" distR="0" wp14:anchorId="38E24CAC" wp14:editId="71B21DEF">
            <wp:extent cx="6037450" cy="1990725"/>
            <wp:effectExtent l="0" t="0" r="1905"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64237" cy="1999558"/>
                    </a:xfrm>
                    <a:prstGeom prst="rect">
                      <a:avLst/>
                    </a:prstGeom>
                    <a:noFill/>
                    <a:ln>
                      <a:noFill/>
                    </a:ln>
                  </pic:spPr>
                </pic:pic>
              </a:graphicData>
            </a:graphic>
          </wp:inline>
        </w:drawing>
      </w:r>
    </w:p>
    <w:p w14:paraId="1DBAA8D0" w14:textId="77777777" w:rsidR="0037667D" w:rsidRPr="007879EE" w:rsidRDefault="00223521" w:rsidP="00BC27DE">
      <w:pPr>
        <w:rPr>
          <w:highlight w:val="yellow"/>
          <w:lang w:val="hr-HR"/>
        </w:rPr>
      </w:pPr>
      <w:r w:rsidRPr="005D69F0">
        <w:rPr>
          <w:rFonts w:ascii="Calibri" w:hAnsi="Calibri" w:cs="Calibri"/>
          <w:i/>
          <w:lang w:val="hr-HR"/>
        </w:rPr>
        <w:t>Izvor: Ministarstvo financija</w:t>
      </w:r>
      <w:r w:rsidR="0037667D" w:rsidRPr="007879EE">
        <w:rPr>
          <w:highlight w:val="yellow"/>
          <w:lang w:val="hr-HR"/>
        </w:rPr>
        <w:br w:type="page"/>
      </w:r>
    </w:p>
    <w:p w14:paraId="1CEAFE58" w14:textId="77777777" w:rsidR="00695821" w:rsidRPr="00D473AD" w:rsidRDefault="00695821" w:rsidP="0029489C">
      <w:pPr>
        <w:pStyle w:val="Heading1"/>
        <w:numPr>
          <w:ilvl w:val="0"/>
          <w:numId w:val="17"/>
        </w:numPr>
        <w:rPr>
          <w:lang w:val="hr-HR"/>
        </w:rPr>
      </w:pPr>
      <w:bookmarkStart w:id="31" w:name="_Toc213857305"/>
      <w:r w:rsidRPr="00D473AD">
        <w:rPr>
          <w:lang w:val="hr-HR"/>
        </w:rPr>
        <w:lastRenderedPageBreak/>
        <w:t>UKUPNI MANJAK</w:t>
      </w:r>
      <w:r w:rsidR="00BC27DE" w:rsidRPr="00D473AD">
        <w:rPr>
          <w:lang w:val="hr-HR"/>
        </w:rPr>
        <w:t>/VIŠAK</w:t>
      </w:r>
      <w:r w:rsidRPr="00D473AD">
        <w:rPr>
          <w:lang w:val="hr-HR"/>
        </w:rPr>
        <w:t xml:space="preserve"> DRŽAVNOG PRORAČUNA</w:t>
      </w:r>
      <w:bookmarkEnd w:id="31"/>
      <w:r w:rsidRPr="00D473AD">
        <w:rPr>
          <w:lang w:val="hr-HR"/>
        </w:rPr>
        <w:t xml:space="preserve"> </w:t>
      </w:r>
    </w:p>
    <w:p w14:paraId="7E2C3415" w14:textId="77777777" w:rsidR="00695821" w:rsidRPr="007879EE" w:rsidRDefault="00695821" w:rsidP="00695821">
      <w:pPr>
        <w:rPr>
          <w:highlight w:val="yellow"/>
          <w:lang w:val="hr-HR"/>
        </w:rPr>
      </w:pPr>
    </w:p>
    <w:p w14:paraId="00D6F9BA" w14:textId="77777777" w:rsidR="00695821" w:rsidRPr="00F64BF9" w:rsidRDefault="00695821" w:rsidP="002A12E4">
      <w:pPr>
        <w:jc w:val="both"/>
        <w:rPr>
          <w:lang w:val="hr-HR"/>
        </w:rPr>
      </w:pPr>
      <w:r w:rsidRPr="00F64BF9">
        <w:rPr>
          <w:lang w:val="hr-HR"/>
        </w:rPr>
        <w:t xml:space="preserve">Slijedom ukupno planiranih prihoda u iznosu od </w:t>
      </w:r>
      <w:r w:rsidR="00AE00B6" w:rsidRPr="00F64BF9">
        <w:rPr>
          <w:lang w:val="hr-HR"/>
        </w:rPr>
        <w:t>3</w:t>
      </w:r>
      <w:r w:rsidR="00F64BF9" w:rsidRPr="00F64BF9">
        <w:rPr>
          <w:lang w:val="hr-HR"/>
        </w:rPr>
        <w:t>5,7</w:t>
      </w:r>
      <w:r w:rsidR="00A831A9" w:rsidRPr="00F64BF9">
        <w:rPr>
          <w:lang w:val="hr-HR"/>
        </w:rPr>
        <w:t xml:space="preserve"> </w:t>
      </w:r>
      <w:r w:rsidR="008E0275" w:rsidRPr="00F64BF9">
        <w:rPr>
          <w:lang w:val="hr-HR"/>
        </w:rPr>
        <w:t>milijard</w:t>
      </w:r>
      <w:r w:rsidR="00AE00B6" w:rsidRPr="00F64BF9">
        <w:rPr>
          <w:lang w:val="hr-HR"/>
        </w:rPr>
        <w:t>e</w:t>
      </w:r>
      <w:r w:rsidRPr="00F64BF9">
        <w:rPr>
          <w:lang w:val="hr-HR"/>
        </w:rPr>
        <w:t xml:space="preserve"> </w:t>
      </w:r>
      <w:r w:rsidR="0015106F" w:rsidRPr="00F64BF9">
        <w:rPr>
          <w:lang w:val="hr-HR"/>
        </w:rPr>
        <w:t>eura</w:t>
      </w:r>
      <w:r w:rsidRPr="00F64BF9">
        <w:rPr>
          <w:lang w:val="hr-HR"/>
        </w:rPr>
        <w:t xml:space="preserve"> te ukupno planiranih rashoda u iznosu od </w:t>
      </w:r>
      <w:r w:rsidR="00AE00B6" w:rsidRPr="00F64BF9">
        <w:rPr>
          <w:lang w:val="hr-HR"/>
        </w:rPr>
        <w:t>3</w:t>
      </w:r>
      <w:r w:rsidR="00F64BF9" w:rsidRPr="00F64BF9">
        <w:rPr>
          <w:lang w:val="hr-HR"/>
        </w:rPr>
        <w:t>9,8</w:t>
      </w:r>
      <w:r w:rsidRPr="00F64BF9">
        <w:rPr>
          <w:lang w:val="hr-HR"/>
        </w:rPr>
        <w:t xml:space="preserve"> mi</w:t>
      </w:r>
      <w:r w:rsidR="00A831A9" w:rsidRPr="00F64BF9">
        <w:rPr>
          <w:lang w:val="hr-HR"/>
        </w:rPr>
        <w:t>lijardi</w:t>
      </w:r>
      <w:r w:rsidRPr="00F64BF9">
        <w:rPr>
          <w:lang w:val="hr-HR"/>
        </w:rPr>
        <w:t xml:space="preserve"> </w:t>
      </w:r>
      <w:r w:rsidR="0015106F" w:rsidRPr="00F64BF9">
        <w:rPr>
          <w:lang w:val="hr-HR"/>
        </w:rPr>
        <w:t>eura</w:t>
      </w:r>
      <w:r w:rsidRPr="00F64BF9">
        <w:rPr>
          <w:lang w:val="hr-HR"/>
        </w:rPr>
        <w:t>, planirani manjak državnog proračuna za 20</w:t>
      </w:r>
      <w:r w:rsidR="00155FA2" w:rsidRPr="00F64BF9">
        <w:rPr>
          <w:lang w:val="hr-HR"/>
        </w:rPr>
        <w:t>2</w:t>
      </w:r>
      <w:r w:rsidR="00F64BF9" w:rsidRPr="00F64BF9">
        <w:rPr>
          <w:lang w:val="hr-HR"/>
        </w:rPr>
        <w:t>6</w:t>
      </w:r>
      <w:r w:rsidRPr="00F64BF9">
        <w:rPr>
          <w:lang w:val="hr-HR"/>
        </w:rPr>
        <w:t xml:space="preserve">. godinu iznosi </w:t>
      </w:r>
      <w:r w:rsidR="003C5C33" w:rsidRPr="00F64BF9">
        <w:rPr>
          <w:lang w:val="hr-HR"/>
        </w:rPr>
        <w:t>4,1</w:t>
      </w:r>
      <w:r w:rsidRPr="00F64BF9">
        <w:rPr>
          <w:lang w:val="hr-HR"/>
        </w:rPr>
        <w:t xml:space="preserve"> milijard</w:t>
      </w:r>
      <w:r w:rsidR="00C05659" w:rsidRPr="00F64BF9">
        <w:rPr>
          <w:lang w:val="hr-HR"/>
        </w:rPr>
        <w:t>u</w:t>
      </w:r>
      <w:r w:rsidRPr="00F64BF9">
        <w:rPr>
          <w:lang w:val="hr-HR"/>
        </w:rPr>
        <w:t xml:space="preserve"> </w:t>
      </w:r>
      <w:r w:rsidR="0015106F" w:rsidRPr="00F64BF9">
        <w:rPr>
          <w:lang w:val="hr-HR"/>
        </w:rPr>
        <w:t>eura</w:t>
      </w:r>
      <w:r w:rsidRPr="00F64BF9">
        <w:rPr>
          <w:lang w:val="hr-HR"/>
        </w:rPr>
        <w:t xml:space="preserve"> ili </w:t>
      </w:r>
      <w:r w:rsidR="00AE00B6" w:rsidRPr="00F64BF9">
        <w:rPr>
          <w:lang w:val="hr-HR"/>
        </w:rPr>
        <w:t>4,</w:t>
      </w:r>
      <w:r w:rsidR="00F64BF9" w:rsidRPr="00F64BF9">
        <w:rPr>
          <w:lang w:val="hr-HR"/>
        </w:rPr>
        <w:t>2</w:t>
      </w:r>
      <w:r w:rsidRPr="00F64BF9">
        <w:rPr>
          <w:lang w:val="hr-HR"/>
        </w:rPr>
        <w:t xml:space="preserve">% bruto domaćeg proizvoda. </w:t>
      </w:r>
    </w:p>
    <w:p w14:paraId="5236FDDB" w14:textId="77777777" w:rsidR="00695821" w:rsidRPr="00F64BF9" w:rsidRDefault="00BE094B" w:rsidP="002A12E4">
      <w:pPr>
        <w:jc w:val="both"/>
        <w:rPr>
          <w:lang w:val="hr-HR"/>
        </w:rPr>
      </w:pPr>
      <w:r w:rsidRPr="00F64BF9">
        <w:rPr>
          <w:lang w:val="hr-HR"/>
        </w:rPr>
        <w:t>U 202</w:t>
      </w:r>
      <w:r w:rsidR="00F64BF9" w:rsidRPr="00F64BF9">
        <w:rPr>
          <w:lang w:val="hr-HR"/>
        </w:rPr>
        <w:t>7</w:t>
      </w:r>
      <w:r w:rsidR="00695821" w:rsidRPr="00F64BF9">
        <w:rPr>
          <w:lang w:val="hr-HR"/>
        </w:rPr>
        <w:t xml:space="preserve">. godini manjak državnog proračuna projiciran je </w:t>
      </w:r>
      <w:r w:rsidR="00A831A9" w:rsidRPr="00F64BF9">
        <w:rPr>
          <w:lang w:val="hr-HR"/>
        </w:rPr>
        <w:t xml:space="preserve">u iznosu od </w:t>
      </w:r>
      <w:r w:rsidR="00785FEF" w:rsidRPr="00F64BF9">
        <w:rPr>
          <w:lang w:val="hr-HR"/>
        </w:rPr>
        <w:t>3,</w:t>
      </w:r>
      <w:r w:rsidR="00F64BF9" w:rsidRPr="00F64BF9">
        <w:rPr>
          <w:lang w:val="hr-HR"/>
        </w:rPr>
        <w:t>95</w:t>
      </w:r>
      <w:r w:rsidR="00D41E40" w:rsidRPr="00F64BF9">
        <w:rPr>
          <w:lang w:val="hr-HR"/>
        </w:rPr>
        <w:t xml:space="preserve"> milij</w:t>
      </w:r>
      <w:r w:rsidR="00785FEF" w:rsidRPr="00F64BF9">
        <w:rPr>
          <w:lang w:val="hr-HR"/>
        </w:rPr>
        <w:t>ard</w:t>
      </w:r>
      <w:r w:rsidR="00C05659" w:rsidRPr="00F64BF9">
        <w:rPr>
          <w:lang w:val="hr-HR"/>
        </w:rPr>
        <w:t>i</w:t>
      </w:r>
      <w:r w:rsidR="00D41E40" w:rsidRPr="00F64BF9">
        <w:rPr>
          <w:lang w:val="hr-HR"/>
        </w:rPr>
        <w:t xml:space="preserve"> eura</w:t>
      </w:r>
      <w:r w:rsidR="00A831A9" w:rsidRPr="00F64BF9">
        <w:rPr>
          <w:lang w:val="hr-HR"/>
        </w:rPr>
        <w:t xml:space="preserve"> ili </w:t>
      </w:r>
      <w:r w:rsidR="00785FEF" w:rsidRPr="00F64BF9">
        <w:rPr>
          <w:lang w:val="hr-HR"/>
        </w:rPr>
        <w:t>3,</w:t>
      </w:r>
      <w:r w:rsidR="00F64BF9" w:rsidRPr="00F64BF9">
        <w:rPr>
          <w:lang w:val="hr-HR"/>
        </w:rPr>
        <w:t>8</w:t>
      </w:r>
      <w:r w:rsidR="00A831A9" w:rsidRPr="00F64BF9">
        <w:rPr>
          <w:lang w:val="hr-HR"/>
        </w:rPr>
        <w:t>% BDP-a dok se u 202</w:t>
      </w:r>
      <w:r w:rsidR="00F64BF9" w:rsidRPr="00F64BF9">
        <w:rPr>
          <w:lang w:val="hr-HR"/>
        </w:rPr>
        <w:t>8</w:t>
      </w:r>
      <w:r w:rsidR="00A831A9" w:rsidRPr="00F64BF9">
        <w:rPr>
          <w:lang w:val="hr-HR"/>
        </w:rPr>
        <w:t>.</w:t>
      </w:r>
      <w:r w:rsidR="00D72B0A" w:rsidRPr="00F64BF9">
        <w:rPr>
          <w:lang w:val="hr-HR"/>
        </w:rPr>
        <w:t xml:space="preserve"> </w:t>
      </w:r>
      <w:r w:rsidR="00A831A9" w:rsidRPr="00F64BF9">
        <w:rPr>
          <w:lang w:val="hr-HR"/>
        </w:rPr>
        <w:t xml:space="preserve">očekuje </w:t>
      </w:r>
      <w:r w:rsidR="00D41E40" w:rsidRPr="00F64BF9">
        <w:rPr>
          <w:lang w:val="hr-HR"/>
        </w:rPr>
        <w:t>manjak</w:t>
      </w:r>
      <w:r w:rsidR="00A831A9" w:rsidRPr="00F64BF9">
        <w:rPr>
          <w:lang w:val="hr-HR"/>
        </w:rPr>
        <w:t xml:space="preserve"> od </w:t>
      </w:r>
      <w:r w:rsidR="00F64BF9" w:rsidRPr="00F64BF9">
        <w:rPr>
          <w:lang w:val="hr-HR"/>
        </w:rPr>
        <w:t>2,2</w:t>
      </w:r>
      <w:r w:rsidR="00A831A9" w:rsidRPr="00F64BF9">
        <w:rPr>
          <w:lang w:val="hr-HR"/>
        </w:rPr>
        <w:t xml:space="preserve"> </w:t>
      </w:r>
      <w:r w:rsidR="00D41E40" w:rsidRPr="00F64BF9">
        <w:rPr>
          <w:lang w:val="hr-HR"/>
        </w:rPr>
        <w:t>milij</w:t>
      </w:r>
      <w:r w:rsidR="00785FEF" w:rsidRPr="00F64BF9">
        <w:rPr>
          <w:lang w:val="hr-HR"/>
        </w:rPr>
        <w:t>ard</w:t>
      </w:r>
      <w:r w:rsidR="00C05659" w:rsidRPr="00F64BF9">
        <w:rPr>
          <w:lang w:val="hr-HR"/>
        </w:rPr>
        <w:t>i</w:t>
      </w:r>
      <w:r w:rsidR="00D41E40" w:rsidRPr="00F64BF9">
        <w:rPr>
          <w:lang w:val="hr-HR"/>
        </w:rPr>
        <w:t xml:space="preserve"> eura</w:t>
      </w:r>
      <w:r w:rsidR="00A831A9" w:rsidRPr="00F64BF9">
        <w:rPr>
          <w:lang w:val="hr-HR"/>
        </w:rPr>
        <w:t xml:space="preserve"> ili </w:t>
      </w:r>
      <w:r w:rsidR="00F64BF9" w:rsidRPr="00F64BF9">
        <w:rPr>
          <w:lang w:val="hr-HR"/>
        </w:rPr>
        <w:t>2,1</w:t>
      </w:r>
      <w:r w:rsidR="00A831A9" w:rsidRPr="00F64BF9">
        <w:rPr>
          <w:lang w:val="hr-HR"/>
        </w:rPr>
        <w:t xml:space="preserve">% BDP-a. </w:t>
      </w:r>
    </w:p>
    <w:p w14:paraId="22B5979F" w14:textId="77777777" w:rsidR="008E0275" w:rsidRPr="00F64BF9" w:rsidRDefault="00DB0827" w:rsidP="009D478D">
      <w:pPr>
        <w:spacing w:before="240" w:after="0"/>
        <w:rPr>
          <w:lang w:val="hr-HR"/>
        </w:rPr>
      </w:pPr>
      <w:bookmarkStart w:id="32" w:name="_Toc445241797"/>
      <w:r w:rsidRPr="00F64BF9">
        <w:rPr>
          <w:i/>
          <w:lang w:val="hr-HR"/>
        </w:rPr>
        <w:t xml:space="preserve">Tablica </w:t>
      </w:r>
      <w:r w:rsidR="00362A8C" w:rsidRPr="00F64BF9">
        <w:rPr>
          <w:i/>
          <w:lang w:val="hr-HR"/>
        </w:rPr>
        <w:t>1</w:t>
      </w:r>
      <w:r w:rsidR="00674659" w:rsidRPr="00F64BF9">
        <w:rPr>
          <w:i/>
          <w:lang w:val="hr-HR"/>
        </w:rPr>
        <w:t>1</w:t>
      </w:r>
      <w:r w:rsidR="00695821" w:rsidRPr="00F64BF9">
        <w:rPr>
          <w:i/>
          <w:lang w:val="hr-HR"/>
        </w:rPr>
        <w:t>: Ukupni manjak</w:t>
      </w:r>
      <w:r w:rsidR="00BC27DE" w:rsidRPr="00F64BF9">
        <w:rPr>
          <w:i/>
          <w:lang w:val="hr-HR"/>
        </w:rPr>
        <w:t>/višak</w:t>
      </w:r>
      <w:r w:rsidR="00695821" w:rsidRPr="00F64BF9">
        <w:rPr>
          <w:i/>
          <w:lang w:val="hr-HR"/>
        </w:rPr>
        <w:t xml:space="preserve"> državnog proračuna</w:t>
      </w:r>
      <w:bookmarkEnd w:id="32"/>
      <w:r w:rsidR="009D478D">
        <w:rPr>
          <w:i/>
          <w:lang w:val="hr-HR"/>
        </w:rPr>
        <w:tab/>
      </w:r>
      <w:r w:rsidR="009D478D">
        <w:rPr>
          <w:i/>
          <w:lang w:val="hr-HR"/>
        </w:rPr>
        <w:br/>
      </w:r>
      <w:r w:rsidR="00EC595C" w:rsidRPr="00EC595C">
        <w:rPr>
          <w:noProof/>
          <w:lang w:val="hr-HR" w:eastAsia="hr-HR"/>
        </w:rPr>
        <w:drawing>
          <wp:inline distT="0" distB="0" distL="0" distR="0" wp14:anchorId="225D9CD4" wp14:editId="6B15A194">
            <wp:extent cx="6151301" cy="1781175"/>
            <wp:effectExtent l="0" t="0" r="190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7548" cy="1794566"/>
                    </a:xfrm>
                    <a:prstGeom prst="rect">
                      <a:avLst/>
                    </a:prstGeom>
                    <a:noFill/>
                    <a:ln>
                      <a:noFill/>
                    </a:ln>
                  </pic:spPr>
                </pic:pic>
              </a:graphicData>
            </a:graphic>
          </wp:inline>
        </w:drawing>
      </w:r>
    </w:p>
    <w:p w14:paraId="2B8684A2" w14:textId="77777777" w:rsidR="00695821" w:rsidRPr="00F64BF9" w:rsidRDefault="00695821" w:rsidP="00205AC5">
      <w:pPr>
        <w:spacing w:after="0"/>
        <w:rPr>
          <w:i/>
          <w:sz w:val="20"/>
          <w:lang w:val="hr-HR"/>
        </w:rPr>
      </w:pPr>
      <w:r w:rsidRPr="00F64BF9">
        <w:rPr>
          <w:i/>
          <w:sz w:val="20"/>
          <w:lang w:val="hr-HR"/>
        </w:rPr>
        <w:t>Izvor: Ministarstvo financija</w:t>
      </w:r>
    </w:p>
    <w:p w14:paraId="629AF478" w14:textId="77777777" w:rsidR="001314C4" w:rsidRPr="007879EE" w:rsidRDefault="00695821" w:rsidP="00695821">
      <w:pPr>
        <w:rPr>
          <w:highlight w:val="yellow"/>
          <w:lang w:val="hr-HR"/>
        </w:rPr>
      </w:pPr>
      <w:r w:rsidRPr="007879EE">
        <w:rPr>
          <w:highlight w:val="yellow"/>
          <w:lang w:val="hr-HR"/>
        </w:rPr>
        <w:t xml:space="preserve"> </w:t>
      </w:r>
      <w:r w:rsidR="001314C4" w:rsidRPr="007879EE">
        <w:rPr>
          <w:highlight w:val="yellow"/>
          <w:lang w:val="hr-HR"/>
        </w:rPr>
        <w:br w:type="page"/>
      </w:r>
    </w:p>
    <w:p w14:paraId="6DA19395" w14:textId="77777777" w:rsidR="00695821" w:rsidRPr="00E9189D" w:rsidRDefault="00695821" w:rsidP="0029489C">
      <w:pPr>
        <w:pStyle w:val="Heading1"/>
        <w:numPr>
          <w:ilvl w:val="0"/>
          <w:numId w:val="17"/>
        </w:numPr>
        <w:rPr>
          <w:lang w:val="hr-HR"/>
        </w:rPr>
      </w:pPr>
      <w:bookmarkStart w:id="33" w:name="_Toc213857306"/>
      <w:r w:rsidRPr="00E9189D">
        <w:rPr>
          <w:lang w:val="hr-HR"/>
        </w:rPr>
        <w:lastRenderedPageBreak/>
        <w:t>RAČUN FINANCIRANJA DRŽAVNOG PRORAČUNA</w:t>
      </w:r>
      <w:bookmarkEnd w:id="33"/>
      <w:r w:rsidRPr="00E9189D">
        <w:rPr>
          <w:lang w:val="hr-HR"/>
        </w:rPr>
        <w:t xml:space="preserve"> </w:t>
      </w:r>
    </w:p>
    <w:p w14:paraId="6AA79BDC" w14:textId="77777777" w:rsidR="00695821" w:rsidRPr="007879EE" w:rsidRDefault="00695821" w:rsidP="00695821">
      <w:pPr>
        <w:rPr>
          <w:highlight w:val="yellow"/>
          <w:lang w:val="hr-HR"/>
        </w:rPr>
      </w:pPr>
    </w:p>
    <w:p w14:paraId="3B1333F1" w14:textId="77777777" w:rsidR="00F90EB6" w:rsidRPr="00274D2C" w:rsidRDefault="00F90EB6" w:rsidP="00F90EB6">
      <w:pPr>
        <w:jc w:val="both"/>
        <w:rPr>
          <w:lang w:val="hr-HR"/>
        </w:rPr>
      </w:pPr>
      <w:r w:rsidRPr="00274D2C">
        <w:rPr>
          <w:lang w:val="hr-HR"/>
        </w:rPr>
        <w:t xml:space="preserve">Planirani manjak državnog proračuna u 2026. godini u iznosu </w:t>
      </w:r>
      <w:r w:rsidRPr="00FB7428">
        <w:rPr>
          <w:lang w:val="hr-HR"/>
        </w:rPr>
        <w:t>od 4,1 milijardu eura</w:t>
      </w:r>
      <w:r w:rsidRPr="00274D2C">
        <w:rPr>
          <w:lang w:val="hr-HR"/>
        </w:rPr>
        <w:t xml:space="preserve"> financirat će se razlikom ukupnih primitaka od financijske imovine i zaduživanja i ukupnih izdataka za financijsku imovinu i otplate zajmova. Pritom se ukupni primici od financijske imovine i zaduživanja planiraju u iznosu od 9,</w:t>
      </w:r>
      <w:r>
        <w:rPr>
          <w:lang w:val="hr-HR"/>
        </w:rPr>
        <w:t>5</w:t>
      </w:r>
      <w:r w:rsidRPr="00274D2C">
        <w:rPr>
          <w:lang w:val="hr-HR"/>
        </w:rPr>
        <w:t xml:space="preserve"> milijardi eura, a ukupni izdaci za financijsku imovinu i otplate zajmova u iznosu od </w:t>
      </w:r>
      <w:r>
        <w:rPr>
          <w:lang w:val="hr-HR"/>
        </w:rPr>
        <w:t>4,1</w:t>
      </w:r>
      <w:r w:rsidRPr="00274D2C">
        <w:rPr>
          <w:lang w:val="hr-HR"/>
        </w:rPr>
        <w:t xml:space="preserve"> milijard</w:t>
      </w:r>
      <w:r>
        <w:rPr>
          <w:lang w:val="hr-HR"/>
        </w:rPr>
        <w:t>u</w:t>
      </w:r>
      <w:r w:rsidRPr="00274D2C">
        <w:rPr>
          <w:lang w:val="hr-HR"/>
        </w:rPr>
        <w:t xml:space="preserve"> eura. </w:t>
      </w:r>
      <w:r w:rsidRPr="00352393">
        <w:rPr>
          <w:lang w:val="hr-HR"/>
        </w:rPr>
        <w:t>Zatvarajuća stavka između ukupnih primitaka od financijske imovine i zaduživanja, ukupnih izdataka za financijsku imovinu i otplate zajmova te ukupnog manjka državnog proračuna u 202</w:t>
      </w:r>
      <w:r>
        <w:rPr>
          <w:lang w:val="hr-HR"/>
        </w:rPr>
        <w:t>6</w:t>
      </w:r>
      <w:r w:rsidRPr="00352393">
        <w:rPr>
          <w:lang w:val="hr-HR"/>
        </w:rPr>
        <w:t xml:space="preserve">. godini jesu prijenos depozita iz prethodne godine </w:t>
      </w:r>
      <w:r>
        <w:rPr>
          <w:lang w:val="hr-HR"/>
        </w:rPr>
        <w:t>i</w:t>
      </w:r>
      <w:r w:rsidRPr="00352393">
        <w:rPr>
          <w:lang w:val="hr-HR"/>
        </w:rPr>
        <w:t xml:space="preserve"> prijenos depozita u narednu godinu</w:t>
      </w:r>
      <w:r>
        <w:rPr>
          <w:lang w:val="hr-HR"/>
        </w:rPr>
        <w:t>.</w:t>
      </w:r>
      <w:r w:rsidRPr="00352393">
        <w:rPr>
          <w:lang w:val="hr-HR"/>
        </w:rPr>
        <w:t xml:space="preserve"> </w:t>
      </w:r>
    </w:p>
    <w:p w14:paraId="6ABC8967" w14:textId="2521343A" w:rsidR="00F90EB6" w:rsidRDefault="00F90EB6" w:rsidP="00F90EB6">
      <w:pPr>
        <w:jc w:val="both"/>
        <w:rPr>
          <w:lang w:val="hr-HR"/>
        </w:rPr>
      </w:pPr>
      <w:r w:rsidRPr="00274D2C">
        <w:rPr>
          <w:lang w:val="hr-HR"/>
        </w:rPr>
        <w:t xml:space="preserve">U strukturi ukupnih primitaka od financijske imovine i zaduživanja u 2026. godini najznačajniji iznos od 4,5 milijardi eura odnosi se na primitke od izdanih financijskih instrumenata - vrijednosnih papira, od čega se 4,0 milijarde eura odnosi na obveznice, a 465,0 milijuna eura na trezorske zapise (neto). Primici od zaduživanja inozemnim i domaćim kreditima i zajmovima planiraju se u iznosu od </w:t>
      </w:r>
      <w:r>
        <w:rPr>
          <w:lang w:val="hr-HR"/>
        </w:rPr>
        <w:t>4,8</w:t>
      </w:r>
      <w:r w:rsidRPr="00274D2C">
        <w:rPr>
          <w:lang w:val="hr-HR"/>
        </w:rPr>
        <w:t xml:space="preserve"> milijard</w:t>
      </w:r>
      <w:r>
        <w:rPr>
          <w:lang w:val="hr-HR"/>
        </w:rPr>
        <w:t>i</w:t>
      </w:r>
      <w:r w:rsidRPr="00274D2C">
        <w:rPr>
          <w:lang w:val="hr-HR"/>
        </w:rPr>
        <w:t xml:space="preserve"> eura, od čega se </w:t>
      </w:r>
      <w:r>
        <w:rPr>
          <w:lang w:val="hr-HR"/>
        </w:rPr>
        <w:t xml:space="preserve">najznačajniji iznos od </w:t>
      </w:r>
      <w:r w:rsidRPr="00274D2C">
        <w:rPr>
          <w:lang w:val="hr-HR"/>
        </w:rPr>
        <w:t>3,1 milijard</w:t>
      </w:r>
      <w:r w:rsidR="008B5CAF">
        <w:rPr>
          <w:lang w:val="hr-HR"/>
        </w:rPr>
        <w:t>e</w:t>
      </w:r>
      <w:r w:rsidRPr="00274D2C">
        <w:rPr>
          <w:lang w:val="hr-HR"/>
        </w:rPr>
        <w:t xml:space="preserve"> eura odnosi na zajam koji Republika Hrvatska ostvaruje u okviru Nacionalnog plana oporavka i otpornosti 2021.-2026.</w:t>
      </w:r>
      <w:r>
        <w:rPr>
          <w:lang w:val="hr-HR"/>
        </w:rPr>
        <w:t xml:space="preserve">, a 510 milijuna eura na zajam SAFE </w:t>
      </w:r>
      <w:r>
        <w:rPr>
          <w:rFonts w:ascii="Arial" w:hAnsi="Arial" w:cs="Arial"/>
          <w:color w:val="000000"/>
        </w:rPr>
        <w:t>"</w:t>
      </w:r>
      <w:r w:rsidRPr="00FB7428">
        <w:rPr>
          <w:lang w:val="hr-HR"/>
        </w:rPr>
        <w:t>Si</w:t>
      </w:r>
      <w:r>
        <w:rPr>
          <w:lang w:val="hr-HR"/>
        </w:rPr>
        <w:t xml:space="preserve">gurnosna akcija za Europu", </w:t>
      </w:r>
      <w:r w:rsidRPr="00CA6DDE">
        <w:rPr>
          <w:rFonts w:ascii="Arial" w:hAnsi="Arial" w:cs="Arial"/>
          <w:color w:val="000000"/>
        </w:rPr>
        <w:t xml:space="preserve"> </w:t>
      </w:r>
      <w:r w:rsidRPr="00FB7428">
        <w:rPr>
          <w:lang w:val="hr-HR"/>
        </w:rPr>
        <w:t xml:space="preserve">novi instrument </w:t>
      </w:r>
      <w:r>
        <w:rPr>
          <w:lang w:val="hr-HR"/>
        </w:rPr>
        <w:t>za jačanje obrambene sigurnosti koji je Europska unija uspostavila u svibnju 2025.</w:t>
      </w:r>
      <w:r>
        <w:rPr>
          <w:rFonts w:ascii="Arial" w:hAnsi="Arial" w:cs="Arial"/>
          <w:color w:val="000000"/>
        </w:rPr>
        <w:t xml:space="preserve"> </w:t>
      </w:r>
    </w:p>
    <w:p w14:paraId="5DF020FD" w14:textId="77777777" w:rsidR="00F90EB6" w:rsidRPr="00274D2C" w:rsidRDefault="00F90EB6" w:rsidP="00F90EB6">
      <w:pPr>
        <w:jc w:val="both"/>
        <w:rPr>
          <w:lang w:val="hr-HR"/>
        </w:rPr>
      </w:pPr>
      <w:r w:rsidRPr="00274D2C">
        <w:rPr>
          <w:lang w:val="hr-HR"/>
        </w:rPr>
        <w:t>Preostali iznos planiranih primitaka u računu financiranja državnog proračuna odnosi se na primitke od povrata glavnica danih zajmova u iznosu od 237,0 milijuna eura.</w:t>
      </w:r>
    </w:p>
    <w:p w14:paraId="602E6B51" w14:textId="77777777" w:rsidR="00F90EB6" w:rsidRPr="00274D2C" w:rsidRDefault="00F90EB6" w:rsidP="00F90EB6">
      <w:pPr>
        <w:jc w:val="both"/>
        <w:rPr>
          <w:color w:val="FF0000"/>
          <w:lang w:val="hr-HR"/>
        </w:rPr>
      </w:pPr>
      <w:r w:rsidRPr="00274D2C">
        <w:rPr>
          <w:lang w:val="hr-HR"/>
        </w:rPr>
        <w:t xml:space="preserve">U strukturi ukupnih izdataka za financijsku imovinu i otplate zajmova najveći iznos od 2,1 milijarda eura čine izdaci za otplatu glavnice za izdane financijske instrumente - vrijednosne papire koji se u cijelosti odnose na izdatke za otplatu glavnice za izdane </w:t>
      </w:r>
      <w:r>
        <w:rPr>
          <w:lang w:val="hr-HR"/>
        </w:rPr>
        <w:t xml:space="preserve">domaće </w:t>
      </w:r>
      <w:r w:rsidRPr="00274D2C">
        <w:rPr>
          <w:lang w:val="hr-HR"/>
        </w:rPr>
        <w:t xml:space="preserve">obveznice. Izdaci za otplatu glavnice primljenih kredita </w:t>
      </w:r>
      <w:r w:rsidRPr="0009766B">
        <w:rPr>
          <w:lang w:val="hr-HR"/>
        </w:rPr>
        <w:t xml:space="preserve">i zajmova planiraju se u iznosu od 1,0 milijardu eura. Najznačajniji iznos od 656,7 milijuna eura odnosi se na otplatu glavnice primljenih kredita i zajmova od kreditnih i ostalih financijskih institucija izvan javnog sektora. Izdaci za ulaganja u financijske instrumente - dionice i udjele u glavnici </w:t>
      </w:r>
      <w:r>
        <w:rPr>
          <w:lang w:val="hr-HR"/>
        </w:rPr>
        <w:t xml:space="preserve">planiraju se </w:t>
      </w:r>
      <w:r w:rsidRPr="0009766B">
        <w:rPr>
          <w:lang w:val="hr-HR"/>
        </w:rPr>
        <w:t>u iznosu od 685,6 milijuna eura</w:t>
      </w:r>
      <w:r>
        <w:rPr>
          <w:lang w:val="hr-HR"/>
        </w:rPr>
        <w:t xml:space="preserve">, a izdaci za </w:t>
      </w:r>
      <w:r w:rsidRPr="0009766B">
        <w:rPr>
          <w:lang w:val="hr-HR"/>
        </w:rPr>
        <w:t>dane zajmove i jamčevne pologe</w:t>
      </w:r>
      <w:r>
        <w:rPr>
          <w:lang w:val="hr-HR"/>
        </w:rPr>
        <w:t xml:space="preserve"> </w:t>
      </w:r>
      <w:r w:rsidRPr="0009766B">
        <w:rPr>
          <w:lang w:val="hr-HR"/>
        </w:rPr>
        <w:t>u iznosu od 295,5 milijuna eura.</w:t>
      </w:r>
    </w:p>
    <w:p w14:paraId="6FD7E15B" w14:textId="77777777" w:rsidR="00F90EB6" w:rsidRDefault="00F90EB6" w:rsidP="00F90EB6">
      <w:pPr>
        <w:jc w:val="both"/>
        <w:rPr>
          <w:lang w:val="hr-HR"/>
        </w:rPr>
      </w:pPr>
      <w:r w:rsidRPr="008A21F2">
        <w:rPr>
          <w:lang w:val="hr-HR"/>
        </w:rPr>
        <w:t>Planirani manjak državnog proračuna u 2027. godini u iznosu od 4,0 milijarde eura te planirani manjak državnog proračuna u 2028. godini u iznosu od 2,2 milijarde eura financirat će se iz prenesenih sredstava prethodne godine i razlikom između primitaka od financijske imovine i zaduživanja i ukupnih izdataka za financijsku imovinu i otplate zajmova.</w:t>
      </w:r>
    </w:p>
    <w:p w14:paraId="47ED6595" w14:textId="77777777" w:rsidR="000621DF" w:rsidRPr="007879EE" w:rsidRDefault="000621DF" w:rsidP="0075661D">
      <w:pPr>
        <w:spacing w:after="0"/>
        <w:jc w:val="both"/>
        <w:rPr>
          <w:i/>
          <w:highlight w:val="yellow"/>
          <w:lang w:val="hr-HR"/>
        </w:rPr>
      </w:pPr>
    </w:p>
    <w:p w14:paraId="795ED2FA" w14:textId="77777777" w:rsidR="00F90EB6" w:rsidRDefault="00362A8C" w:rsidP="009D478D">
      <w:pPr>
        <w:spacing w:after="0"/>
        <w:jc w:val="both"/>
        <w:rPr>
          <w:i/>
          <w:sz w:val="20"/>
          <w:lang w:val="hr-HR"/>
        </w:rPr>
      </w:pPr>
      <w:r w:rsidRPr="00F90EB6">
        <w:rPr>
          <w:i/>
          <w:lang w:val="hr-HR"/>
        </w:rPr>
        <w:lastRenderedPageBreak/>
        <w:t xml:space="preserve">Tablica </w:t>
      </w:r>
      <w:r w:rsidR="00674659" w:rsidRPr="00F90EB6">
        <w:rPr>
          <w:i/>
          <w:lang w:val="hr-HR"/>
        </w:rPr>
        <w:t>12</w:t>
      </w:r>
      <w:r w:rsidRPr="00F90EB6">
        <w:rPr>
          <w:i/>
          <w:lang w:val="hr-HR"/>
        </w:rPr>
        <w:t>: Račun prihoda, rashoda i financiranja državnog proračuna</w:t>
      </w:r>
      <w:r w:rsidR="009D478D" w:rsidRPr="00F90EB6">
        <w:rPr>
          <w:i/>
          <w:lang w:val="hr-HR"/>
        </w:rPr>
        <w:tab/>
      </w:r>
      <w:r w:rsidR="009D478D" w:rsidRPr="00F90EB6">
        <w:rPr>
          <w:i/>
          <w:lang w:val="hr-HR"/>
        </w:rPr>
        <w:br/>
      </w:r>
      <w:r w:rsidR="00F90EB6" w:rsidRPr="00F90EB6">
        <w:rPr>
          <w:noProof/>
          <w:lang w:val="hr-HR" w:eastAsia="hr-HR"/>
        </w:rPr>
        <w:drawing>
          <wp:inline distT="0" distB="0" distL="0" distR="0" wp14:anchorId="1257E9B4" wp14:editId="51AD5CA8">
            <wp:extent cx="5760720" cy="207899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2078990"/>
                    </a:xfrm>
                    <a:prstGeom prst="rect">
                      <a:avLst/>
                    </a:prstGeom>
                    <a:noFill/>
                    <a:ln>
                      <a:noFill/>
                    </a:ln>
                  </pic:spPr>
                </pic:pic>
              </a:graphicData>
            </a:graphic>
          </wp:inline>
        </w:drawing>
      </w:r>
      <w:r w:rsidR="00FF7B1E" w:rsidRPr="00F90EB6">
        <w:rPr>
          <w:i/>
          <w:sz w:val="20"/>
          <w:lang w:val="hr-HR"/>
        </w:rPr>
        <w:t>Izvor: Ministarstvo financija</w:t>
      </w:r>
    </w:p>
    <w:p w14:paraId="45D0B675" w14:textId="77777777" w:rsidR="000621DF" w:rsidRPr="00F90EB6" w:rsidRDefault="00F90EB6" w:rsidP="00F90EB6">
      <w:pPr>
        <w:rPr>
          <w:i/>
          <w:sz w:val="20"/>
          <w:lang w:val="hr-HR"/>
        </w:rPr>
      </w:pPr>
      <w:r>
        <w:rPr>
          <w:i/>
          <w:sz w:val="20"/>
          <w:lang w:val="hr-HR"/>
        </w:rPr>
        <w:br w:type="page"/>
      </w:r>
    </w:p>
    <w:p w14:paraId="72F4873C" w14:textId="77777777" w:rsidR="00306477" w:rsidRPr="008015DC" w:rsidRDefault="00306477" w:rsidP="00B337AF">
      <w:pPr>
        <w:pStyle w:val="Heading1"/>
        <w:numPr>
          <w:ilvl w:val="0"/>
          <w:numId w:val="17"/>
        </w:numPr>
        <w:spacing w:before="0"/>
        <w:rPr>
          <w:lang w:val="hr-HR"/>
        </w:rPr>
      </w:pPr>
      <w:bookmarkStart w:id="34" w:name="_Toc445299434"/>
      <w:bookmarkStart w:id="35" w:name="_Toc213857307"/>
      <w:r w:rsidRPr="008015DC">
        <w:rPr>
          <w:lang w:val="hr-HR"/>
        </w:rPr>
        <w:lastRenderedPageBreak/>
        <w:t>STANJE DOSPJELIH NEPODMIRENIH OBVEZA PRORAČUNSKIH KORISNIKA DRŽAVNOG PRORAČUNA</w:t>
      </w:r>
      <w:bookmarkEnd w:id="34"/>
      <w:bookmarkEnd w:id="35"/>
    </w:p>
    <w:p w14:paraId="29F4F5BF" w14:textId="77777777" w:rsidR="00B337AF" w:rsidRPr="007879EE" w:rsidRDefault="00B337AF" w:rsidP="00B337AF">
      <w:pPr>
        <w:spacing w:after="0"/>
        <w:rPr>
          <w:highlight w:val="yellow"/>
          <w:lang w:val="hr-HR"/>
        </w:rPr>
      </w:pPr>
    </w:p>
    <w:p w14:paraId="3584580F" w14:textId="77777777" w:rsidR="00EA611C" w:rsidRPr="008015DC" w:rsidRDefault="00B337AF" w:rsidP="009D478D">
      <w:pPr>
        <w:spacing w:after="0" w:line="240" w:lineRule="auto"/>
        <w:rPr>
          <w:rFonts w:ascii="Calibri" w:hAnsi="Calibri" w:cs="Calibri"/>
          <w:i/>
          <w:lang w:val="hr-HR"/>
        </w:rPr>
      </w:pPr>
      <w:r w:rsidRPr="008015DC">
        <w:rPr>
          <w:rFonts w:ascii="Calibri" w:hAnsi="Calibri" w:cs="Calibri"/>
          <w:i/>
          <w:lang w:val="hr-HR"/>
        </w:rPr>
        <w:t>Tablica 1</w:t>
      </w:r>
      <w:r w:rsidR="00674659" w:rsidRPr="008015DC">
        <w:rPr>
          <w:rFonts w:ascii="Calibri" w:hAnsi="Calibri" w:cs="Calibri"/>
          <w:i/>
          <w:lang w:val="hr-HR"/>
        </w:rPr>
        <w:t>3</w:t>
      </w:r>
      <w:r w:rsidRPr="008015DC">
        <w:rPr>
          <w:rFonts w:ascii="Calibri" w:hAnsi="Calibri" w:cs="Calibri"/>
          <w:i/>
          <w:lang w:val="hr-HR"/>
        </w:rPr>
        <w:t>: Stanje dospjelih nepodmirenih obveza ministarstava i drugih državnih tijela na razini razdjela organizacijske klasifikacije</w:t>
      </w:r>
      <w:r w:rsidR="001C5C94" w:rsidRPr="008015DC">
        <w:rPr>
          <w:rFonts w:ascii="Calibri" w:hAnsi="Calibri" w:cs="Calibri"/>
          <w:i/>
          <w:lang w:val="hr-HR"/>
        </w:rPr>
        <w:tab/>
      </w:r>
      <w:r w:rsidR="001C5C94" w:rsidRPr="008015DC">
        <w:rPr>
          <w:rFonts w:ascii="Calibri" w:hAnsi="Calibri" w:cs="Calibri"/>
          <w:i/>
          <w:lang w:val="hr-HR"/>
        </w:rPr>
        <w:br/>
      </w:r>
      <w:r w:rsidR="008015DC" w:rsidRPr="008015DC">
        <w:rPr>
          <w:rFonts w:cstheme="minorHAnsi"/>
          <w:noProof/>
          <w:lang w:val="hr-HR" w:eastAsia="hr-HR"/>
        </w:rPr>
        <w:drawing>
          <wp:inline distT="0" distB="0" distL="0" distR="0" wp14:anchorId="02C870B4" wp14:editId="5E984A6F">
            <wp:extent cx="5760720" cy="7420610"/>
            <wp:effectExtent l="0" t="0" r="0"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7420610"/>
                    </a:xfrm>
                    <a:prstGeom prst="rect">
                      <a:avLst/>
                    </a:prstGeom>
                    <a:noFill/>
                    <a:ln>
                      <a:noFill/>
                    </a:ln>
                  </pic:spPr>
                </pic:pic>
              </a:graphicData>
            </a:graphic>
          </wp:inline>
        </w:drawing>
      </w:r>
      <w:r w:rsidRPr="008015DC">
        <w:rPr>
          <w:rFonts w:ascii="Calibri" w:hAnsi="Calibri" w:cs="Calibri"/>
          <w:i/>
          <w:lang w:val="hr-HR"/>
        </w:rPr>
        <w:t>Izvor: Ministarstvo financija</w:t>
      </w:r>
    </w:p>
    <w:p w14:paraId="31330FB7" w14:textId="77777777" w:rsidR="00B337AF" w:rsidRPr="008015DC" w:rsidRDefault="00B337AF" w:rsidP="009D478D">
      <w:pPr>
        <w:spacing w:after="0"/>
        <w:jc w:val="both"/>
        <w:rPr>
          <w:rFonts w:ascii="Calibri" w:hAnsi="Calibri" w:cs="Calibri"/>
          <w:i/>
          <w:lang w:val="hr-HR"/>
        </w:rPr>
      </w:pPr>
      <w:r w:rsidRPr="008015DC">
        <w:rPr>
          <w:rFonts w:ascii="Calibri" w:hAnsi="Calibri" w:cs="Calibri"/>
          <w:i/>
          <w:lang w:val="hr-HR"/>
        </w:rPr>
        <w:lastRenderedPageBreak/>
        <w:t xml:space="preserve">Tablica </w:t>
      </w:r>
      <w:r w:rsidR="00674659" w:rsidRPr="008015DC">
        <w:rPr>
          <w:rFonts w:ascii="Calibri" w:hAnsi="Calibri" w:cs="Calibri"/>
          <w:i/>
          <w:lang w:val="hr-HR"/>
        </w:rPr>
        <w:t>14</w:t>
      </w:r>
      <w:r w:rsidRPr="008015DC">
        <w:rPr>
          <w:rFonts w:ascii="Calibri" w:hAnsi="Calibri" w:cs="Calibri"/>
          <w:i/>
          <w:lang w:val="hr-HR"/>
        </w:rPr>
        <w:t>: Stanje dospjelih nepodmirenih obveza izvanproračunskih korisnika</w:t>
      </w:r>
      <w:r w:rsidR="009D478D" w:rsidRPr="008015DC">
        <w:rPr>
          <w:rFonts w:ascii="Calibri" w:hAnsi="Calibri" w:cs="Calibri"/>
          <w:i/>
          <w:lang w:val="hr-HR"/>
        </w:rPr>
        <w:tab/>
      </w:r>
      <w:r w:rsidR="009D478D" w:rsidRPr="008015DC">
        <w:rPr>
          <w:rFonts w:ascii="Calibri" w:hAnsi="Calibri" w:cs="Calibri"/>
          <w:i/>
          <w:lang w:val="hr-HR"/>
        </w:rPr>
        <w:br/>
      </w:r>
      <w:r w:rsidR="008015DC" w:rsidRPr="008015DC">
        <w:rPr>
          <w:rFonts w:cstheme="minorHAnsi"/>
          <w:noProof/>
          <w:lang w:val="hr-HR" w:eastAsia="hr-HR"/>
        </w:rPr>
        <w:drawing>
          <wp:inline distT="0" distB="0" distL="0" distR="0" wp14:anchorId="136C6224" wp14:editId="3FFDB314">
            <wp:extent cx="5621655" cy="3721100"/>
            <wp:effectExtent l="0" t="0" r="0" b="0"/>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21655" cy="3721100"/>
                    </a:xfrm>
                    <a:prstGeom prst="rect">
                      <a:avLst/>
                    </a:prstGeom>
                    <a:noFill/>
                    <a:ln>
                      <a:noFill/>
                    </a:ln>
                  </pic:spPr>
                </pic:pic>
              </a:graphicData>
            </a:graphic>
          </wp:inline>
        </w:drawing>
      </w:r>
    </w:p>
    <w:p w14:paraId="0EEEB846" w14:textId="77777777" w:rsidR="00B337AF" w:rsidRPr="008015DC" w:rsidRDefault="00B337AF" w:rsidP="00B337AF">
      <w:pPr>
        <w:spacing w:after="0" w:line="240" w:lineRule="auto"/>
        <w:jc w:val="both"/>
        <w:rPr>
          <w:rFonts w:ascii="Calibri" w:hAnsi="Calibri" w:cs="Calibri"/>
          <w:i/>
          <w:lang w:val="hr-HR"/>
        </w:rPr>
      </w:pPr>
      <w:r w:rsidRPr="008015DC">
        <w:rPr>
          <w:rFonts w:ascii="Calibri" w:hAnsi="Calibri" w:cs="Calibri"/>
          <w:i/>
          <w:lang w:val="hr-HR"/>
        </w:rPr>
        <w:t>Izvor: Ministarstvo financija</w:t>
      </w:r>
    </w:p>
    <w:p w14:paraId="77201245" w14:textId="77777777" w:rsidR="00B337AF" w:rsidRPr="007879EE" w:rsidRDefault="00B337AF" w:rsidP="00B337AF">
      <w:pPr>
        <w:rPr>
          <w:highlight w:val="yellow"/>
          <w:lang w:val="hr-HR"/>
        </w:rPr>
      </w:pPr>
    </w:p>
    <w:p w14:paraId="2469CDCA" w14:textId="77777777" w:rsidR="00306477" w:rsidRPr="007879EE" w:rsidRDefault="00306477" w:rsidP="00306477">
      <w:pPr>
        <w:rPr>
          <w:sz w:val="6"/>
          <w:szCs w:val="6"/>
          <w:highlight w:val="yellow"/>
          <w:lang w:val="hr-HR"/>
        </w:rPr>
      </w:pPr>
    </w:p>
    <w:p w14:paraId="0A088771" w14:textId="77777777" w:rsidR="00306477" w:rsidRPr="007879EE" w:rsidRDefault="00306477" w:rsidP="00695821">
      <w:pPr>
        <w:rPr>
          <w:highlight w:val="yellow"/>
          <w:lang w:val="hr-HR"/>
        </w:rPr>
      </w:pPr>
      <w:r w:rsidRPr="007879EE">
        <w:rPr>
          <w:highlight w:val="yellow"/>
          <w:lang w:val="hr-HR"/>
        </w:rPr>
        <w:br w:type="page"/>
      </w:r>
    </w:p>
    <w:p w14:paraId="0440B15A" w14:textId="77777777" w:rsidR="00695821" w:rsidRPr="00C4684F" w:rsidRDefault="00695821" w:rsidP="0029489C">
      <w:pPr>
        <w:pStyle w:val="Heading1"/>
        <w:numPr>
          <w:ilvl w:val="0"/>
          <w:numId w:val="17"/>
        </w:numPr>
        <w:rPr>
          <w:lang w:val="hr-HR"/>
        </w:rPr>
      </w:pPr>
      <w:bookmarkStart w:id="36" w:name="_Toc213857308"/>
      <w:r w:rsidRPr="00C4684F">
        <w:rPr>
          <w:lang w:val="hr-HR"/>
        </w:rPr>
        <w:lastRenderedPageBreak/>
        <w:t>PROCJENA UKUPNOG MANJKA</w:t>
      </w:r>
      <w:r w:rsidR="003052F1" w:rsidRPr="00C4684F">
        <w:rPr>
          <w:lang w:val="hr-HR"/>
        </w:rPr>
        <w:t>/VIŠKA</w:t>
      </w:r>
      <w:r w:rsidRPr="00C4684F">
        <w:rPr>
          <w:lang w:val="hr-HR"/>
        </w:rPr>
        <w:t xml:space="preserve"> OPĆE DRŽAVE</w:t>
      </w:r>
      <w:bookmarkEnd w:id="36"/>
      <w:r w:rsidRPr="00C4684F">
        <w:rPr>
          <w:lang w:val="hr-HR"/>
        </w:rPr>
        <w:t xml:space="preserve"> </w:t>
      </w:r>
    </w:p>
    <w:p w14:paraId="40E07F1F" w14:textId="77777777" w:rsidR="00695821" w:rsidRPr="007879EE" w:rsidRDefault="00695821" w:rsidP="00695821">
      <w:pPr>
        <w:rPr>
          <w:highlight w:val="yellow"/>
          <w:lang w:val="hr-HR"/>
        </w:rPr>
      </w:pPr>
    </w:p>
    <w:p w14:paraId="7F798F4A" w14:textId="77777777" w:rsidR="0069403F" w:rsidRPr="007879EE" w:rsidRDefault="0069403F" w:rsidP="00834752">
      <w:pPr>
        <w:spacing w:after="240"/>
        <w:jc w:val="both"/>
        <w:rPr>
          <w:rFonts w:ascii="Calibri" w:hAnsi="Calibri"/>
          <w:highlight w:val="yellow"/>
          <w:lang w:val="hr-HR"/>
        </w:rPr>
      </w:pPr>
      <w:bookmarkStart w:id="37" w:name="_Toc445241799"/>
      <w:r w:rsidRPr="00C4684F">
        <w:rPr>
          <w:rFonts w:ascii="Calibri" w:hAnsi="Calibri"/>
          <w:lang w:val="hr-HR"/>
        </w:rPr>
        <w:t>U 202</w:t>
      </w:r>
      <w:r w:rsidR="00C4684F" w:rsidRPr="00C4684F">
        <w:rPr>
          <w:rFonts w:ascii="Calibri" w:hAnsi="Calibri"/>
          <w:lang w:val="hr-HR"/>
        </w:rPr>
        <w:t>6</w:t>
      </w:r>
      <w:r w:rsidRPr="00C4684F">
        <w:rPr>
          <w:rFonts w:ascii="Calibri" w:hAnsi="Calibri"/>
          <w:lang w:val="hr-HR"/>
        </w:rPr>
        <w:t xml:space="preserve">. godini manjak općeg proračuna prema nacionalnoj metodologiji projiciran je na razini od </w:t>
      </w:r>
      <w:r w:rsidR="00C4684F" w:rsidRPr="00C4684F">
        <w:rPr>
          <w:rFonts w:ascii="Calibri" w:hAnsi="Calibri"/>
          <w:lang w:val="hr-HR"/>
        </w:rPr>
        <w:t>4,3</w:t>
      </w:r>
      <w:r w:rsidRPr="00C4684F">
        <w:rPr>
          <w:rFonts w:ascii="Calibri" w:hAnsi="Calibri"/>
          <w:lang w:val="hr-HR"/>
        </w:rPr>
        <w:t xml:space="preserve"> milijardi eura ili </w:t>
      </w:r>
      <w:r w:rsidR="00FF005E" w:rsidRPr="00C4684F">
        <w:rPr>
          <w:rFonts w:ascii="Calibri" w:hAnsi="Calibri"/>
          <w:lang w:val="hr-HR"/>
        </w:rPr>
        <w:t>4</w:t>
      </w:r>
      <w:r w:rsidR="00C4684F" w:rsidRPr="00C4684F">
        <w:rPr>
          <w:rFonts w:ascii="Calibri" w:hAnsi="Calibri"/>
          <w:lang w:val="hr-HR"/>
        </w:rPr>
        <w:t>,4</w:t>
      </w:r>
      <w:r w:rsidRPr="00C4684F">
        <w:rPr>
          <w:rFonts w:ascii="Calibri" w:hAnsi="Calibri"/>
          <w:lang w:val="hr-HR"/>
        </w:rPr>
        <w:t>% BDP-a. U 202</w:t>
      </w:r>
      <w:r w:rsidR="00C4684F" w:rsidRPr="00C4684F">
        <w:rPr>
          <w:rFonts w:ascii="Calibri" w:hAnsi="Calibri"/>
          <w:lang w:val="hr-HR"/>
        </w:rPr>
        <w:t>7</w:t>
      </w:r>
      <w:r w:rsidRPr="00C4684F">
        <w:rPr>
          <w:rFonts w:ascii="Calibri" w:hAnsi="Calibri"/>
          <w:lang w:val="hr-HR"/>
        </w:rPr>
        <w:t xml:space="preserve">. isti se projicira u iznosu od </w:t>
      </w:r>
      <w:r w:rsidR="00DB01FC" w:rsidRPr="00C4684F">
        <w:rPr>
          <w:rFonts w:ascii="Calibri" w:hAnsi="Calibri"/>
          <w:lang w:val="hr-HR"/>
        </w:rPr>
        <w:t>3</w:t>
      </w:r>
      <w:r w:rsidR="00C4684F" w:rsidRPr="00C4684F">
        <w:rPr>
          <w:rFonts w:ascii="Calibri" w:hAnsi="Calibri"/>
          <w:lang w:val="hr-HR"/>
        </w:rPr>
        <w:t>,8</w:t>
      </w:r>
      <w:r w:rsidRPr="00C4684F">
        <w:rPr>
          <w:rFonts w:ascii="Calibri" w:hAnsi="Calibri"/>
          <w:lang w:val="hr-HR"/>
        </w:rPr>
        <w:t xml:space="preserve"> milij</w:t>
      </w:r>
      <w:r w:rsidR="00DB01FC" w:rsidRPr="00C4684F">
        <w:rPr>
          <w:rFonts w:ascii="Calibri" w:hAnsi="Calibri"/>
          <w:lang w:val="hr-HR"/>
        </w:rPr>
        <w:t>arde</w:t>
      </w:r>
      <w:r w:rsidRPr="00C4684F">
        <w:rPr>
          <w:rFonts w:ascii="Calibri" w:hAnsi="Calibri"/>
          <w:lang w:val="hr-HR"/>
        </w:rPr>
        <w:t xml:space="preserve"> eura ili </w:t>
      </w:r>
      <w:r w:rsidR="0046410C" w:rsidRPr="00C4684F">
        <w:rPr>
          <w:rFonts w:ascii="Calibri" w:hAnsi="Calibri"/>
          <w:lang w:val="hr-HR"/>
        </w:rPr>
        <w:t>3,</w:t>
      </w:r>
      <w:r w:rsidR="00C4684F" w:rsidRPr="00C4684F">
        <w:rPr>
          <w:rFonts w:ascii="Calibri" w:hAnsi="Calibri"/>
          <w:lang w:val="hr-HR"/>
        </w:rPr>
        <w:t>7</w:t>
      </w:r>
      <w:r w:rsidRPr="00C4684F">
        <w:rPr>
          <w:rFonts w:ascii="Calibri" w:hAnsi="Calibri"/>
          <w:lang w:val="hr-HR"/>
        </w:rPr>
        <w:t>% BDP-a, a u 202</w:t>
      </w:r>
      <w:r w:rsidR="00C4684F" w:rsidRPr="00C4684F">
        <w:rPr>
          <w:rFonts w:ascii="Calibri" w:hAnsi="Calibri"/>
          <w:lang w:val="hr-HR"/>
        </w:rPr>
        <w:t>8</w:t>
      </w:r>
      <w:r w:rsidRPr="00C4684F">
        <w:rPr>
          <w:rFonts w:ascii="Calibri" w:hAnsi="Calibri"/>
          <w:lang w:val="hr-HR"/>
        </w:rPr>
        <w:t xml:space="preserve">. godini u iznosu od </w:t>
      </w:r>
      <w:r w:rsidR="00C4684F" w:rsidRPr="00C4684F">
        <w:rPr>
          <w:rFonts w:ascii="Calibri" w:hAnsi="Calibri"/>
          <w:lang w:val="hr-HR"/>
        </w:rPr>
        <w:t>2</w:t>
      </w:r>
      <w:r w:rsidRPr="00C4684F">
        <w:rPr>
          <w:rFonts w:ascii="Calibri" w:hAnsi="Calibri"/>
          <w:lang w:val="hr-HR"/>
        </w:rPr>
        <w:t xml:space="preserve"> </w:t>
      </w:r>
      <w:r w:rsidR="0046410C" w:rsidRPr="00C4684F">
        <w:rPr>
          <w:rFonts w:ascii="Calibri" w:hAnsi="Calibri"/>
          <w:lang w:val="hr-HR"/>
        </w:rPr>
        <w:t>milijard</w:t>
      </w:r>
      <w:r w:rsidR="00FF005E" w:rsidRPr="00C4684F">
        <w:rPr>
          <w:rFonts w:ascii="Calibri" w:hAnsi="Calibri"/>
          <w:lang w:val="hr-HR"/>
        </w:rPr>
        <w:t>e</w:t>
      </w:r>
      <w:r w:rsidR="0046410C" w:rsidRPr="00C4684F">
        <w:rPr>
          <w:rFonts w:ascii="Calibri" w:hAnsi="Calibri"/>
          <w:lang w:val="hr-HR"/>
        </w:rPr>
        <w:t xml:space="preserve"> eura ili </w:t>
      </w:r>
      <w:r w:rsidR="00DB01FC" w:rsidRPr="00C4684F">
        <w:rPr>
          <w:rFonts w:ascii="Calibri" w:hAnsi="Calibri"/>
          <w:lang w:val="hr-HR"/>
        </w:rPr>
        <w:t>1</w:t>
      </w:r>
      <w:r w:rsidRPr="00C4684F">
        <w:rPr>
          <w:rFonts w:ascii="Calibri" w:hAnsi="Calibri"/>
          <w:lang w:val="hr-HR"/>
        </w:rPr>
        <w:t>,</w:t>
      </w:r>
      <w:r w:rsidR="00C4684F" w:rsidRPr="00C4684F">
        <w:rPr>
          <w:rFonts w:ascii="Calibri" w:hAnsi="Calibri"/>
          <w:lang w:val="hr-HR"/>
        </w:rPr>
        <w:t>9</w:t>
      </w:r>
      <w:r w:rsidRPr="00C4684F">
        <w:rPr>
          <w:rFonts w:ascii="Calibri" w:hAnsi="Calibri"/>
          <w:lang w:val="hr-HR"/>
        </w:rPr>
        <w:t>% BDP-a. Pritom je manjak državnog proračuna u 202</w:t>
      </w:r>
      <w:r w:rsidR="00C4684F" w:rsidRPr="00C4684F">
        <w:rPr>
          <w:rFonts w:ascii="Calibri" w:hAnsi="Calibri"/>
          <w:lang w:val="hr-HR"/>
        </w:rPr>
        <w:t>6</w:t>
      </w:r>
      <w:r w:rsidRPr="00C4684F">
        <w:rPr>
          <w:rFonts w:ascii="Calibri" w:hAnsi="Calibri"/>
          <w:lang w:val="hr-HR"/>
        </w:rPr>
        <w:t xml:space="preserve">. planiran na razini od </w:t>
      </w:r>
      <w:r w:rsidR="00DB01FC" w:rsidRPr="00C4684F">
        <w:rPr>
          <w:rFonts w:ascii="Calibri" w:hAnsi="Calibri"/>
          <w:lang w:val="hr-HR"/>
        </w:rPr>
        <w:t>4,</w:t>
      </w:r>
      <w:r w:rsidR="00C4684F" w:rsidRPr="00C4684F">
        <w:rPr>
          <w:rFonts w:ascii="Calibri" w:hAnsi="Calibri"/>
          <w:lang w:val="hr-HR"/>
        </w:rPr>
        <w:t>2</w:t>
      </w:r>
      <w:r w:rsidRPr="00C4684F">
        <w:rPr>
          <w:rFonts w:ascii="Calibri" w:hAnsi="Calibri"/>
          <w:lang w:val="hr-HR"/>
        </w:rPr>
        <w:t>% BDP-a, u 202</w:t>
      </w:r>
      <w:r w:rsidR="00C4684F" w:rsidRPr="00C4684F">
        <w:rPr>
          <w:rFonts w:ascii="Calibri" w:hAnsi="Calibri"/>
          <w:lang w:val="hr-HR"/>
        </w:rPr>
        <w:t>7</w:t>
      </w:r>
      <w:r w:rsidRPr="00C4684F">
        <w:rPr>
          <w:rFonts w:ascii="Calibri" w:hAnsi="Calibri"/>
          <w:lang w:val="hr-HR"/>
        </w:rPr>
        <w:t>. i 202</w:t>
      </w:r>
      <w:r w:rsidR="00C4684F" w:rsidRPr="00C4684F">
        <w:rPr>
          <w:rFonts w:ascii="Calibri" w:hAnsi="Calibri"/>
          <w:lang w:val="hr-HR"/>
        </w:rPr>
        <w:t>8</w:t>
      </w:r>
      <w:r w:rsidRPr="00C4684F">
        <w:rPr>
          <w:rFonts w:ascii="Calibri" w:hAnsi="Calibri"/>
          <w:lang w:val="hr-HR"/>
        </w:rPr>
        <w:t xml:space="preserve">. na razini od </w:t>
      </w:r>
      <w:r w:rsidR="002D1398" w:rsidRPr="00C4684F">
        <w:rPr>
          <w:rFonts w:ascii="Calibri" w:hAnsi="Calibri"/>
          <w:lang w:val="hr-HR"/>
        </w:rPr>
        <w:t>3,</w:t>
      </w:r>
      <w:r w:rsidR="00C4684F" w:rsidRPr="00C4684F">
        <w:rPr>
          <w:rFonts w:ascii="Calibri" w:hAnsi="Calibri"/>
          <w:lang w:val="hr-HR"/>
        </w:rPr>
        <w:t>8</w:t>
      </w:r>
      <w:r w:rsidRPr="00C4684F">
        <w:rPr>
          <w:rFonts w:ascii="Calibri" w:hAnsi="Calibri"/>
          <w:lang w:val="hr-HR"/>
        </w:rPr>
        <w:t xml:space="preserve">% BDP-a odnosno </w:t>
      </w:r>
      <w:r w:rsidR="00C4684F" w:rsidRPr="00C4684F">
        <w:rPr>
          <w:rFonts w:ascii="Calibri" w:hAnsi="Calibri"/>
          <w:lang w:val="hr-HR"/>
        </w:rPr>
        <w:t>2,1</w:t>
      </w:r>
      <w:r w:rsidRPr="00C4684F">
        <w:rPr>
          <w:rFonts w:ascii="Calibri" w:hAnsi="Calibri"/>
          <w:lang w:val="hr-HR"/>
        </w:rPr>
        <w:t xml:space="preserve">% BDP-a. </w:t>
      </w:r>
      <w:r w:rsidRPr="00F2444E">
        <w:rPr>
          <w:rFonts w:ascii="Calibri" w:hAnsi="Calibri"/>
          <w:lang w:val="hr-HR"/>
        </w:rPr>
        <w:t xml:space="preserve">Izvanproračunski korisnici će u promatranom razdoblju bilježiti </w:t>
      </w:r>
      <w:r w:rsidR="00BA518B" w:rsidRPr="00F2444E">
        <w:rPr>
          <w:rFonts w:ascii="Calibri" w:hAnsi="Calibri"/>
          <w:lang w:val="hr-HR"/>
        </w:rPr>
        <w:t>manjak</w:t>
      </w:r>
      <w:r w:rsidRPr="00F2444E">
        <w:rPr>
          <w:rFonts w:ascii="Calibri" w:hAnsi="Calibri"/>
          <w:lang w:val="hr-HR"/>
        </w:rPr>
        <w:t xml:space="preserve"> i to od 0,</w:t>
      </w:r>
      <w:r w:rsidR="00F2444E" w:rsidRPr="00F2444E">
        <w:rPr>
          <w:rFonts w:ascii="Calibri" w:hAnsi="Calibri"/>
          <w:lang w:val="hr-HR"/>
        </w:rPr>
        <w:t>0</w:t>
      </w:r>
      <w:r w:rsidR="00BA518B" w:rsidRPr="00F2444E">
        <w:rPr>
          <w:rFonts w:ascii="Calibri" w:hAnsi="Calibri"/>
          <w:lang w:val="hr-HR"/>
        </w:rPr>
        <w:t>2</w:t>
      </w:r>
      <w:r w:rsidRPr="00F2444E">
        <w:rPr>
          <w:rFonts w:ascii="Calibri" w:hAnsi="Calibri"/>
          <w:lang w:val="hr-HR"/>
        </w:rPr>
        <w:t>% BDP-a u 202</w:t>
      </w:r>
      <w:r w:rsidR="00F2444E" w:rsidRPr="00F2444E">
        <w:rPr>
          <w:rFonts w:ascii="Calibri" w:hAnsi="Calibri"/>
          <w:lang w:val="hr-HR"/>
        </w:rPr>
        <w:t>6</w:t>
      </w:r>
      <w:r w:rsidR="00BA518B" w:rsidRPr="00F2444E">
        <w:rPr>
          <w:rFonts w:ascii="Calibri" w:hAnsi="Calibri"/>
          <w:lang w:val="hr-HR"/>
        </w:rPr>
        <w:t>.,</w:t>
      </w:r>
      <w:r w:rsidR="00723278" w:rsidRPr="00F2444E">
        <w:rPr>
          <w:rFonts w:ascii="Calibri" w:hAnsi="Calibri"/>
          <w:lang w:val="hr-HR"/>
        </w:rPr>
        <w:t xml:space="preserve"> </w:t>
      </w:r>
      <w:r w:rsidR="00BA518B" w:rsidRPr="00F2444E">
        <w:rPr>
          <w:rFonts w:ascii="Calibri" w:hAnsi="Calibri"/>
          <w:lang w:val="hr-HR"/>
        </w:rPr>
        <w:t>dok će u 2027.</w:t>
      </w:r>
      <w:r w:rsidR="00F2444E" w:rsidRPr="00F2444E">
        <w:rPr>
          <w:rFonts w:ascii="Calibri" w:hAnsi="Calibri"/>
          <w:lang w:val="hr-HR"/>
        </w:rPr>
        <w:t xml:space="preserve"> i 2028.</w:t>
      </w:r>
      <w:r w:rsidR="00BA518B" w:rsidRPr="00F2444E">
        <w:rPr>
          <w:rFonts w:ascii="Calibri" w:hAnsi="Calibri"/>
          <w:lang w:val="hr-HR"/>
        </w:rPr>
        <w:t xml:space="preserve"> godini ostvariti višak od </w:t>
      </w:r>
      <w:r w:rsidRPr="00F2444E">
        <w:rPr>
          <w:rFonts w:ascii="Calibri" w:hAnsi="Calibri"/>
          <w:lang w:val="hr-HR"/>
        </w:rPr>
        <w:t>0,</w:t>
      </w:r>
      <w:r w:rsidR="00F2444E" w:rsidRPr="00F2444E">
        <w:rPr>
          <w:rFonts w:ascii="Calibri" w:hAnsi="Calibri"/>
          <w:lang w:val="hr-HR"/>
        </w:rPr>
        <w:t>1</w:t>
      </w:r>
      <w:r w:rsidR="00BA518B" w:rsidRPr="00F2444E">
        <w:rPr>
          <w:rFonts w:ascii="Calibri" w:hAnsi="Calibri"/>
          <w:lang w:val="hr-HR"/>
        </w:rPr>
        <w:t>% BDP-a</w:t>
      </w:r>
      <w:r w:rsidRPr="00F2444E">
        <w:rPr>
          <w:rFonts w:ascii="Calibri" w:hAnsi="Calibri"/>
          <w:lang w:val="hr-HR"/>
        </w:rPr>
        <w:t xml:space="preserve">. </w:t>
      </w:r>
      <w:r w:rsidR="00F2444E" w:rsidRPr="00F2444E">
        <w:rPr>
          <w:rFonts w:ascii="Calibri" w:hAnsi="Calibri"/>
          <w:lang w:val="hr-HR"/>
        </w:rPr>
        <w:t>Manjak</w:t>
      </w:r>
      <w:r w:rsidRPr="00F2444E">
        <w:rPr>
          <w:rFonts w:ascii="Calibri" w:hAnsi="Calibri"/>
          <w:lang w:val="hr-HR"/>
        </w:rPr>
        <w:t xml:space="preserve"> jedinica lokalne i područne (regionalne) samouprave u 202</w:t>
      </w:r>
      <w:r w:rsidR="00F2444E" w:rsidRPr="00F2444E">
        <w:rPr>
          <w:rFonts w:ascii="Calibri" w:hAnsi="Calibri"/>
          <w:lang w:val="hr-HR"/>
        </w:rPr>
        <w:t>6</w:t>
      </w:r>
      <w:r w:rsidRPr="00F2444E">
        <w:rPr>
          <w:rFonts w:ascii="Calibri" w:hAnsi="Calibri"/>
          <w:lang w:val="hr-HR"/>
        </w:rPr>
        <w:t>. projiciran je u iznosu od 0,</w:t>
      </w:r>
      <w:r w:rsidR="00F2444E" w:rsidRPr="00F2444E">
        <w:rPr>
          <w:rFonts w:ascii="Calibri" w:hAnsi="Calibri"/>
          <w:lang w:val="hr-HR"/>
        </w:rPr>
        <w:t>1</w:t>
      </w:r>
      <w:r w:rsidRPr="00F2444E">
        <w:rPr>
          <w:rFonts w:ascii="Calibri" w:hAnsi="Calibri"/>
          <w:lang w:val="hr-HR"/>
        </w:rPr>
        <w:t xml:space="preserve">% BDP-a, </w:t>
      </w:r>
      <w:r w:rsidR="00F2444E" w:rsidRPr="00F2444E">
        <w:rPr>
          <w:rFonts w:ascii="Calibri" w:hAnsi="Calibri"/>
          <w:lang w:val="hr-HR"/>
        </w:rPr>
        <w:t>dok će</w:t>
      </w:r>
      <w:r w:rsidRPr="00F2444E">
        <w:rPr>
          <w:rFonts w:ascii="Calibri" w:hAnsi="Calibri"/>
          <w:lang w:val="hr-HR"/>
        </w:rPr>
        <w:t xml:space="preserve"> u 202</w:t>
      </w:r>
      <w:r w:rsidR="00F2444E" w:rsidRPr="00F2444E">
        <w:rPr>
          <w:rFonts w:ascii="Calibri" w:hAnsi="Calibri"/>
          <w:lang w:val="hr-HR"/>
        </w:rPr>
        <w:t>7</w:t>
      </w:r>
      <w:r w:rsidRPr="00F2444E">
        <w:rPr>
          <w:rFonts w:ascii="Calibri" w:hAnsi="Calibri"/>
          <w:lang w:val="hr-HR"/>
        </w:rPr>
        <w:t>. i 202</w:t>
      </w:r>
      <w:r w:rsidR="00F2444E" w:rsidRPr="00F2444E">
        <w:rPr>
          <w:rFonts w:ascii="Calibri" w:hAnsi="Calibri"/>
          <w:lang w:val="hr-HR"/>
        </w:rPr>
        <w:t>8</w:t>
      </w:r>
      <w:r w:rsidRPr="00F2444E">
        <w:rPr>
          <w:rFonts w:ascii="Calibri" w:hAnsi="Calibri"/>
          <w:lang w:val="hr-HR"/>
        </w:rPr>
        <w:t xml:space="preserve">. </w:t>
      </w:r>
      <w:r w:rsidR="00F2444E" w:rsidRPr="00F2444E">
        <w:rPr>
          <w:rFonts w:ascii="Calibri" w:hAnsi="Calibri"/>
          <w:lang w:val="hr-HR"/>
        </w:rPr>
        <w:t>jedinice lokalne i područne (regionaln</w:t>
      </w:r>
      <w:r w:rsidR="00DC6FC7">
        <w:rPr>
          <w:rFonts w:ascii="Calibri" w:hAnsi="Calibri"/>
          <w:lang w:val="hr-HR"/>
        </w:rPr>
        <w:t xml:space="preserve">e) samouprave ostvariti višak </w:t>
      </w:r>
      <w:r w:rsidRPr="00F2444E">
        <w:rPr>
          <w:rFonts w:ascii="Calibri" w:hAnsi="Calibri"/>
          <w:lang w:val="hr-HR"/>
        </w:rPr>
        <w:t>u iznosu od 0,</w:t>
      </w:r>
      <w:r w:rsidR="00F2444E" w:rsidRPr="00F2444E">
        <w:rPr>
          <w:rFonts w:ascii="Calibri" w:hAnsi="Calibri"/>
          <w:lang w:val="hr-HR"/>
        </w:rPr>
        <w:t>02</w:t>
      </w:r>
      <w:r w:rsidRPr="00F2444E">
        <w:rPr>
          <w:rFonts w:ascii="Calibri" w:hAnsi="Calibri"/>
          <w:lang w:val="hr-HR"/>
        </w:rPr>
        <w:t>%</w:t>
      </w:r>
      <w:r w:rsidR="000273FD" w:rsidRPr="00F2444E">
        <w:rPr>
          <w:rFonts w:ascii="Calibri" w:hAnsi="Calibri"/>
          <w:lang w:val="hr-HR"/>
        </w:rPr>
        <w:t xml:space="preserve"> odnosno 0,</w:t>
      </w:r>
      <w:r w:rsidR="00F2444E" w:rsidRPr="00F2444E">
        <w:rPr>
          <w:rFonts w:ascii="Calibri" w:hAnsi="Calibri"/>
          <w:lang w:val="hr-HR"/>
        </w:rPr>
        <w:t>1</w:t>
      </w:r>
      <w:r w:rsidR="000273FD" w:rsidRPr="00F2444E">
        <w:rPr>
          <w:rFonts w:ascii="Calibri" w:hAnsi="Calibri"/>
          <w:lang w:val="hr-HR"/>
        </w:rPr>
        <w:t>%</w:t>
      </w:r>
      <w:r w:rsidRPr="00F2444E">
        <w:rPr>
          <w:rFonts w:ascii="Calibri" w:hAnsi="Calibri"/>
          <w:lang w:val="hr-HR"/>
        </w:rPr>
        <w:t xml:space="preserve"> BDP-a.</w:t>
      </w:r>
    </w:p>
    <w:p w14:paraId="757B1193" w14:textId="359222F0" w:rsidR="00E65518" w:rsidRPr="00F300C9" w:rsidRDefault="00DB0827" w:rsidP="009D478D">
      <w:pPr>
        <w:spacing w:before="240" w:after="0"/>
        <w:contextualSpacing/>
        <w:rPr>
          <w:i/>
          <w:sz w:val="20"/>
          <w:lang w:val="hr-HR"/>
        </w:rPr>
      </w:pPr>
      <w:r w:rsidRPr="00F300C9">
        <w:rPr>
          <w:i/>
          <w:lang w:val="hr-HR"/>
        </w:rPr>
        <w:t xml:space="preserve">Tablica </w:t>
      </w:r>
      <w:r w:rsidR="00533F79" w:rsidRPr="00F300C9">
        <w:rPr>
          <w:i/>
          <w:lang w:val="hr-HR"/>
        </w:rPr>
        <w:fldChar w:fldCharType="begin"/>
      </w:r>
      <w:r w:rsidR="00533F79" w:rsidRPr="00F300C9">
        <w:rPr>
          <w:i/>
          <w:lang w:val="hr-HR"/>
        </w:rPr>
        <w:instrText xml:space="preserve"> SEQ Tablica \* ARABIC </w:instrText>
      </w:r>
      <w:r w:rsidR="00533F79" w:rsidRPr="00F300C9">
        <w:rPr>
          <w:i/>
          <w:lang w:val="hr-HR"/>
        </w:rPr>
        <w:fldChar w:fldCharType="separate"/>
      </w:r>
      <w:r w:rsidR="004953C0">
        <w:rPr>
          <w:i/>
          <w:noProof/>
          <w:lang w:val="hr-HR"/>
        </w:rPr>
        <w:t>10</w:t>
      </w:r>
      <w:r w:rsidR="00533F79" w:rsidRPr="00F300C9">
        <w:rPr>
          <w:i/>
          <w:lang w:val="hr-HR"/>
        </w:rPr>
        <w:fldChar w:fldCharType="end"/>
      </w:r>
      <w:r w:rsidR="00695821" w:rsidRPr="00F300C9">
        <w:rPr>
          <w:i/>
          <w:lang w:val="hr-HR"/>
        </w:rPr>
        <w:t xml:space="preserve">: </w:t>
      </w:r>
      <w:bookmarkEnd w:id="37"/>
      <w:r w:rsidR="000D0C63" w:rsidRPr="00F300C9">
        <w:rPr>
          <w:i/>
          <w:lang w:val="hr-HR"/>
        </w:rPr>
        <w:t>Opći proračun prema nacionalnoj metodologiji za razdoblje 202</w:t>
      </w:r>
      <w:r w:rsidR="00F300C9">
        <w:rPr>
          <w:i/>
          <w:lang w:val="hr-HR"/>
        </w:rPr>
        <w:t>4</w:t>
      </w:r>
      <w:r w:rsidR="000D0C63" w:rsidRPr="00F300C9">
        <w:rPr>
          <w:i/>
          <w:lang w:val="hr-HR"/>
        </w:rPr>
        <w:t>.-202</w:t>
      </w:r>
      <w:r w:rsidR="00F300C9">
        <w:rPr>
          <w:i/>
          <w:lang w:val="hr-HR"/>
        </w:rPr>
        <w:t>8</w:t>
      </w:r>
      <w:r w:rsidR="000D0C63" w:rsidRPr="00F300C9">
        <w:rPr>
          <w:i/>
          <w:lang w:val="hr-HR"/>
        </w:rPr>
        <w:t xml:space="preserve">. </w:t>
      </w:r>
      <w:r w:rsidR="009D478D">
        <w:rPr>
          <w:i/>
          <w:lang w:val="hr-HR"/>
        </w:rPr>
        <w:tab/>
      </w:r>
      <w:r w:rsidR="009D478D">
        <w:rPr>
          <w:i/>
          <w:lang w:val="hr-HR"/>
        </w:rPr>
        <w:br/>
      </w:r>
      <w:r w:rsidR="00664A9B" w:rsidRPr="00664A9B">
        <w:rPr>
          <w:noProof/>
          <w:lang w:val="hr-HR" w:eastAsia="hr-HR"/>
        </w:rPr>
        <w:drawing>
          <wp:inline distT="0" distB="0" distL="0" distR="0" wp14:anchorId="02CBE25B" wp14:editId="62B77999">
            <wp:extent cx="5732060" cy="4586427"/>
            <wp:effectExtent l="0" t="0" r="2540" b="508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44060" cy="4596029"/>
                    </a:xfrm>
                    <a:prstGeom prst="rect">
                      <a:avLst/>
                    </a:prstGeom>
                    <a:noFill/>
                    <a:ln>
                      <a:noFill/>
                    </a:ln>
                  </pic:spPr>
                </pic:pic>
              </a:graphicData>
            </a:graphic>
          </wp:inline>
        </w:drawing>
      </w:r>
    </w:p>
    <w:p w14:paraId="0D5E32CF" w14:textId="77777777" w:rsidR="000D0C63" w:rsidRPr="00F300C9" w:rsidRDefault="00695821" w:rsidP="002A12E4">
      <w:pPr>
        <w:jc w:val="both"/>
        <w:rPr>
          <w:i/>
          <w:sz w:val="20"/>
          <w:lang w:val="hr-HR"/>
        </w:rPr>
      </w:pPr>
      <w:r w:rsidRPr="00F300C9">
        <w:rPr>
          <w:i/>
          <w:sz w:val="20"/>
          <w:lang w:val="hr-HR"/>
        </w:rPr>
        <w:t>Izvor: Ministarstvo financija</w:t>
      </w:r>
    </w:p>
    <w:p w14:paraId="71CFF328" w14:textId="77777777" w:rsidR="000D0C63" w:rsidRDefault="000D0C63" w:rsidP="000D0C63">
      <w:pPr>
        <w:jc w:val="both"/>
        <w:rPr>
          <w:lang w:val="hr-HR"/>
        </w:rPr>
      </w:pPr>
      <w:r w:rsidRPr="00791C03">
        <w:rPr>
          <w:lang w:val="hr-HR"/>
        </w:rPr>
        <w:t xml:space="preserve">Kada se ovim veličinama pridodaju prilagodbe nacionalne metodologije računskog plana metodologiji ESA 2010 te projekcije manjka/viška trgovačkih društava i ostalih pravnih osoba koje su statistički uključene u sektor opće države, očekuje se da će planirani manjak opće države iznositi </w:t>
      </w:r>
      <w:r w:rsidR="008A5709" w:rsidRPr="00791C03">
        <w:rPr>
          <w:lang w:val="hr-HR"/>
        </w:rPr>
        <w:t>2,</w:t>
      </w:r>
      <w:r w:rsidR="00791C03" w:rsidRPr="00791C03">
        <w:rPr>
          <w:lang w:val="hr-HR"/>
        </w:rPr>
        <w:t>9</w:t>
      </w:r>
      <w:r w:rsidRPr="00791C03">
        <w:rPr>
          <w:lang w:val="hr-HR"/>
        </w:rPr>
        <w:t>% BDP-a u 202</w:t>
      </w:r>
      <w:r w:rsidR="00791C03" w:rsidRPr="00791C03">
        <w:rPr>
          <w:lang w:val="hr-HR"/>
        </w:rPr>
        <w:t>6</w:t>
      </w:r>
      <w:r w:rsidR="00973432">
        <w:rPr>
          <w:lang w:val="hr-HR"/>
        </w:rPr>
        <w:t>., a u</w:t>
      </w:r>
      <w:r w:rsidRPr="00791C03">
        <w:rPr>
          <w:lang w:val="hr-HR"/>
        </w:rPr>
        <w:t xml:space="preserve"> 202</w:t>
      </w:r>
      <w:r w:rsidR="00791C03" w:rsidRPr="00791C03">
        <w:rPr>
          <w:lang w:val="hr-HR"/>
        </w:rPr>
        <w:t>7</w:t>
      </w:r>
      <w:r w:rsidRPr="00791C03">
        <w:rPr>
          <w:lang w:val="hr-HR"/>
        </w:rPr>
        <w:t>.</w:t>
      </w:r>
      <w:r w:rsidR="00791C03" w:rsidRPr="00791C03">
        <w:rPr>
          <w:lang w:val="hr-HR"/>
        </w:rPr>
        <w:t xml:space="preserve"> i 2028. godini</w:t>
      </w:r>
      <w:r w:rsidRPr="00791C03">
        <w:rPr>
          <w:lang w:val="hr-HR"/>
        </w:rPr>
        <w:t xml:space="preserve"> isti je projiciran na razini od </w:t>
      </w:r>
      <w:r w:rsidR="00791C03" w:rsidRPr="00791C03">
        <w:rPr>
          <w:lang w:val="hr-HR"/>
        </w:rPr>
        <w:t>2,8</w:t>
      </w:r>
      <w:r w:rsidRPr="00791C03">
        <w:rPr>
          <w:lang w:val="hr-HR"/>
        </w:rPr>
        <w:t>% BDP-a.</w:t>
      </w:r>
    </w:p>
    <w:p w14:paraId="51B03C11" w14:textId="77777777" w:rsidR="00973432" w:rsidRPr="00791C03" w:rsidRDefault="00973432" w:rsidP="000D0C63">
      <w:pPr>
        <w:jc w:val="both"/>
        <w:rPr>
          <w:lang w:val="hr-HR"/>
        </w:rPr>
      </w:pPr>
    </w:p>
    <w:p w14:paraId="70FD3FCD" w14:textId="18D1252C" w:rsidR="00E5381F" w:rsidRPr="00791C03" w:rsidRDefault="00757674" w:rsidP="009D478D">
      <w:pPr>
        <w:jc w:val="both"/>
        <w:rPr>
          <w:i/>
          <w:sz w:val="20"/>
          <w:lang w:val="hr-HR"/>
        </w:rPr>
      </w:pPr>
      <w:r w:rsidRPr="00791C03">
        <w:rPr>
          <w:i/>
          <w:lang w:val="hr-HR"/>
        </w:rPr>
        <w:lastRenderedPageBreak/>
        <w:t xml:space="preserve">Tablica </w:t>
      </w:r>
      <w:r w:rsidRPr="00791C03">
        <w:rPr>
          <w:i/>
          <w:lang w:val="hr-HR"/>
        </w:rPr>
        <w:fldChar w:fldCharType="begin"/>
      </w:r>
      <w:r w:rsidRPr="00791C03">
        <w:rPr>
          <w:i/>
          <w:lang w:val="hr-HR"/>
        </w:rPr>
        <w:instrText xml:space="preserve"> SEQ Tablica \* ARABIC </w:instrText>
      </w:r>
      <w:r w:rsidRPr="00791C03">
        <w:rPr>
          <w:i/>
          <w:lang w:val="hr-HR"/>
        </w:rPr>
        <w:fldChar w:fldCharType="separate"/>
      </w:r>
      <w:r w:rsidR="004953C0">
        <w:rPr>
          <w:i/>
          <w:noProof/>
          <w:lang w:val="hr-HR"/>
        </w:rPr>
        <w:t>11</w:t>
      </w:r>
      <w:r w:rsidRPr="00791C03">
        <w:rPr>
          <w:i/>
          <w:lang w:val="hr-HR"/>
        </w:rPr>
        <w:fldChar w:fldCharType="end"/>
      </w:r>
      <w:r w:rsidRPr="00791C03">
        <w:rPr>
          <w:i/>
          <w:lang w:val="hr-HR"/>
        </w:rPr>
        <w:t xml:space="preserve">: </w:t>
      </w:r>
      <w:r w:rsidR="001C5C94">
        <w:rPr>
          <w:i/>
          <w:lang w:val="hr-HR"/>
        </w:rPr>
        <w:t>Manjak/višak p</w:t>
      </w:r>
      <w:r w:rsidRPr="00791C03">
        <w:rPr>
          <w:i/>
          <w:lang w:val="hr-HR"/>
        </w:rPr>
        <w:t>roračun</w:t>
      </w:r>
      <w:r w:rsidR="001C5C94">
        <w:rPr>
          <w:i/>
          <w:lang w:val="hr-HR"/>
        </w:rPr>
        <w:t>a</w:t>
      </w:r>
      <w:r w:rsidRPr="00791C03">
        <w:rPr>
          <w:i/>
          <w:lang w:val="hr-HR"/>
        </w:rPr>
        <w:t xml:space="preserve"> opće države prema podsektorima 202</w:t>
      </w:r>
      <w:r w:rsidR="00C47BDD">
        <w:rPr>
          <w:i/>
          <w:lang w:val="hr-HR"/>
        </w:rPr>
        <w:t>4</w:t>
      </w:r>
      <w:r w:rsidRPr="00791C03">
        <w:rPr>
          <w:i/>
          <w:lang w:val="hr-HR"/>
        </w:rPr>
        <w:t>. – 202</w:t>
      </w:r>
      <w:r w:rsidR="00791C03" w:rsidRPr="00791C03">
        <w:rPr>
          <w:i/>
          <w:lang w:val="hr-HR"/>
        </w:rPr>
        <w:t>8</w:t>
      </w:r>
      <w:r w:rsidRPr="00791C03">
        <w:rPr>
          <w:i/>
          <w:lang w:val="hr-HR"/>
        </w:rPr>
        <w:t xml:space="preserve">. </w:t>
      </w:r>
      <w:r w:rsidR="009D478D">
        <w:rPr>
          <w:i/>
          <w:lang w:val="hr-HR"/>
        </w:rPr>
        <w:tab/>
      </w:r>
      <w:r w:rsidR="009D478D">
        <w:rPr>
          <w:i/>
          <w:lang w:val="hr-HR"/>
        </w:rPr>
        <w:br/>
      </w:r>
      <w:r w:rsidR="004D3C6F" w:rsidRPr="004D3C6F">
        <w:rPr>
          <w:noProof/>
          <w:lang w:val="hr-HR" w:eastAsia="hr-HR"/>
        </w:rPr>
        <w:drawing>
          <wp:inline distT="0" distB="0" distL="0" distR="0" wp14:anchorId="33C0D9CC" wp14:editId="08703138">
            <wp:extent cx="6256325" cy="2275027"/>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76654" cy="2282419"/>
                    </a:xfrm>
                    <a:prstGeom prst="rect">
                      <a:avLst/>
                    </a:prstGeom>
                    <a:noFill/>
                    <a:ln>
                      <a:noFill/>
                    </a:ln>
                  </pic:spPr>
                </pic:pic>
              </a:graphicData>
            </a:graphic>
          </wp:inline>
        </w:drawing>
      </w:r>
      <w:r w:rsidR="00E5381F" w:rsidRPr="00791C03">
        <w:rPr>
          <w:i/>
          <w:sz w:val="20"/>
          <w:lang w:val="hr-HR"/>
        </w:rPr>
        <w:t>Izvor: Ministarstvo financija</w:t>
      </w:r>
    </w:p>
    <w:p w14:paraId="3E857D54" w14:textId="77777777" w:rsidR="004A1742" w:rsidRPr="006E6311" w:rsidRDefault="005569FD" w:rsidP="002A12E4">
      <w:pPr>
        <w:jc w:val="both"/>
        <w:rPr>
          <w:i/>
          <w:sz w:val="20"/>
          <w:lang w:val="hr-HR"/>
        </w:rPr>
      </w:pPr>
      <w:r w:rsidRPr="009D478D">
        <w:rPr>
          <w:lang w:val="hr-HR"/>
        </w:rPr>
        <w:t>U</w:t>
      </w:r>
      <w:r w:rsidR="0034496D" w:rsidRPr="009D478D">
        <w:rPr>
          <w:lang w:val="hr-HR"/>
        </w:rPr>
        <w:t xml:space="preserve"> skladu s</w:t>
      </w:r>
      <w:r w:rsidR="0034496D" w:rsidRPr="006E6311">
        <w:rPr>
          <w:lang w:val="hr-HR"/>
        </w:rPr>
        <w:t xml:space="preserve"> kretanjem </w:t>
      </w:r>
      <w:r w:rsidR="00B35390" w:rsidRPr="006E6311">
        <w:rPr>
          <w:lang w:val="hr-HR"/>
        </w:rPr>
        <w:t>salda proračuna opće države</w:t>
      </w:r>
      <w:r w:rsidR="003C4490" w:rsidRPr="006E6311">
        <w:rPr>
          <w:lang w:val="hr-HR"/>
        </w:rPr>
        <w:t xml:space="preserve"> očekuje se </w:t>
      </w:r>
      <w:r w:rsidR="0034496D" w:rsidRPr="006E6311">
        <w:rPr>
          <w:lang w:val="hr-HR"/>
        </w:rPr>
        <w:t>smanjenje udjela javnog duga u BDP-u</w:t>
      </w:r>
      <w:r w:rsidR="003C4490" w:rsidRPr="006E6311">
        <w:rPr>
          <w:lang w:val="hr-HR"/>
        </w:rPr>
        <w:t xml:space="preserve"> po prosječnoj stopi od </w:t>
      </w:r>
      <w:r w:rsidR="006E6311" w:rsidRPr="006E6311">
        <w:rPr>
          <w:lang w:val="hr-HR"/>
        </w:rPr>
        <w:t>0,2</w:t>
      </w:r>
      <w:r w:rsidR="003C4490" w:rsidRPr="006E6311">
        <w:rPr>
          <w:lang w:val="hr-HR"/>
        </w:rPr>
        <w:t xml:space="preserve"> postotn</w:t>
      </w:r>
      <w:r w:rsidR="00973432">
        <w:rPr>
          <w:lang w:val="hr-HR"/>
        </w:rPr>
        <w:t>a</w:t>
      </w:r>
      <w:r w:rsidR="003C4490" w:rsidRPr="006E6311">
        <w:rPr>
          <w:lang w:val="hr-HR"/>
        </w:rPr>
        <w:t xml:space="preserve"> bod</w:t>
      </w:r>
      <w:r w:rsidR="00646284" w:rsidRPr="006E6311">
        <w:rPr>
          <w:lang w:val="hr-HR"/>
        </w:rPr>
        <w:t>a</w:t>
      </w:r>
      <w:r w:rsidR="003C4490" w:rsidRPr="006E6311">
        <w:rPr>
          <w:lang w:val="hr-HR"/>
        </w:rPr>
        <w:t xml:space="preserve"> u nadolazećem</w:t>
      </w:r>
      <w:r w:rsidR="008D1FF7">
        <w:rPr>
          <w:lang w:val="hr-HR"/>
        </w:rPr>
        <w:t xml:space="preserve"> trogodišnjem razdoblju i to</w:t>
      </w:r>
      <w:r w:rsidR="003C4490" w:rsidRPr="006E6311">
        <w:rPr>
          <w:lang w:val="hr-HR"/>
        </w:rPr>
        <w:t xml:space="preserve"> </w:t>
      </w:r>
      <w:r w:rsidR="00F77610" w:rsidRPr="006E6311">
        <w:rPr>
          <w:lang w:val="hr-HR"/>
        </w:rPr>
        <w:t>s</w:t>
      </w:r>
      <w:r w:rsidR="00B9094E" w:rsidRPr="006E6311">
        <w:rPr>
          <w:lang w:val="hr-HR"/>
        </w:rPr>
        <w:t xml:space="preserve"> </w:t>
      </w:r>
      <w:r w:rsidR="00646284" w:rsidRPr="006E6311">
        <w:rPr>
          <w:lang w:val="hr-HR"/>
        </w:rPr>
        <w:t>5</w:t>
      </w:r>
      <w:r w:rsidR="00781552" w:rsidRPr="006E6311">
        <w:rPr>
          <w:lang w:val="hr-HR"/>
        </w:rPr>
        <w:t>6</w:t>
      </w:r>
      <w:r w:rsidR="00663D69" w:rsidRPr="006E6311">
        <w:rPr>
          <w:lang w:val="hr-HR"/>
        </w:rPr>
        <w:t>%</w:t>
      </w:r>
      <w:r w:rsidR="00B9094E" w:rsidRPr="006E6311">
        <w:rPr>
          <w:lang w:val="hr-HR"/>
        </w:rPr>
        <w:t xml:space="preserve"> BDP-a u 20</w:t>
      </w:r>
      <w:r w:rsidR="00870D4F" w:rsidRPr="006E6311">
        <w:rPr>
          <w:lang w:val="hr-HR"/>
        </w:rPr>
        <w:t>2</w:t>
      </w:r>
      <w:r w:rsidR="006E6311" w:rsidRPr="006E6311">
        <w:rPr>
          <w:lang w:val="hr-HR"/>
        </w:rPr>
        <w:t>6</w:t>
      </w:r>
      <w:r w:rsidR="00F77610" w:rsidRPr="006E6311">
        <w:rPr>
          <w:lang w:val="hr-HR"/>
        </w:rPr>
        <w:t xml:space="preserve">. na </w:t>
      </w:r>
      <w:r w:rsidR="006E6311" w:rsidRPr="006E6311">
        <w:rPr>
          <w:lang w:val="hr-HR"/>
        </w:rPr>
        <w:t>55,8</w:t>
      </w:r>
      <w:r w:rsidR="00663D69" w:rsidRPr="006E6311">
        <w:rPr>
          <w:lang w:val="hr-HR"/>
        </w:rPr>
        <w:t>%</w:t>
      </w:r>
      <w:r w:rsidR="00A618FA" w:rsidRPr="006E6311">
        <w:rPr>
          <w:lang w:val="hr-HR"/>
        </w:rPr>
        <w:t xml:space="preserve"> </w:t>
      </w:r>
      <w:r w:rsidR="0034496D" w:rsidRPr="006E6311">
        <w:rPr>
          <w:lang w:val="hr-HR"/>
        </w:rPr>
        <w:t>BDP-a u 202</w:t>
      </w:r>
      <w:r w:rsidR="006E6311" w:rsidRPr="006E6311">
        <w:rPr>
          <w:lang w:val="hr-HR"/>
        </w:rPr>
        <w:t>8</w:t>
      </w:r>
      <w:r w:rsidR="0034496D" w:rsidRPr="006E6311">
        <w:rPr>
          <w:lang w:val="hr-HR"/>
        </w:rPr>
        <w:t xml:space="preserve">. godini. </w:t>
      </w:r>
    </w:p>
    <w:p w14:paraId="2225E20C" w14:textId="3571FA4B" w:rsidR="0034496D" w:rsidRDefault="0034496D" w:rsidP="009D478D">
      <w:pPr>
        <w:spacing w:after="120"/>
        <w:jc w:val="both"/>
        <w:rPr>
          <w:rFonts w:ascii="Calibri" w:hAnsi="Calibri"/>
          <w:i/>
          <w:sz w:val="20"/>
          <w:szCs w:val="20"/>
          <w:lang w:val="hr-HR"/>
        </w:rPr>
      </w:pPr>
      <w:r w:rsidRPr="006E6311">
        <w:rPr>
          <w:i/>
          <w:lang w:val="hr-HR"/>
        </w:rPr>
        <w:t xml:space="preserve">Grafikon </w:t>
      </w:r>
      <w:r w:rsidRPr="006E6311">
        <w:rPr>
          <w:i/>
          <w:lang w:val="hr-HR"/>
        </w:rPr>
        <w:fldChar w:fldCharType="begin"/>
      </w:r>
      <w:r w:rsidRPr="006E6311">
        <w:rPr>
          <w:i/>
          <w:lang w:val="hr-HR"/>
        </w:rPr>
        <w:instrText xml:space="preserve"> SEQ Grafikon \* ARABIC </w:instrText>
      </w:r>
      <w:r w:rsidRPr="006E6311">
        <w:rPr>
          <w:i/>
          <w:lang w:val="hr-HR"/>
        </w:rPr>
        <w:fldChar w:fldCharType="separate"/>
      </w:r>
      <w:r w:rsidR="004953C0">
        <w:rPr>
          <w:i/>
          <w:noProof/>
          <w:lang w:val="hr-HR"/>
        </w:rPr>
        <w:t>1</w:t>
      </w:r>
      <w:r w:rsidRPr="006E6311">
        <w:rPr>
          <w:i/>
          <w:lang w:val="hr-HR"/>
        </w:rPr>
        <w:fldChar w:fldCharType="end"/>
      </w:r>
      <w:r w:rsidRPr="006E6311">
        <w:rPr>
          <w:i/>
          <w:lang w:val="hr-HR"/>
        </w:rPr>
        <w:t>: Javni dug u razdoblju 201</w:t>
      </w:r>
      <w:r w:rsidR="006E6311" w:rsidRPr="006E6311">
        <w:rPr>
          <w:i/>
          <w:lang w:val="hr-HR"/>
        </w:rPr>
        <w:t>9</w:t>
      </w:r>
      <w:r w:rsidRPr="006E6311">
        <w:rPr>
          <w:i/>
          <w:lang w:val="hr-HR"/>
        </w:rPr>
        <w:t>. – 202</w:t>
      </w:r>
      <w:r w:rsidR="006E6311" w:rsidRPr="006E6311">
        <w:rPr>
          <w:i/>
          <w:lang w:val="hr-HR"/>
        </w:rPr>
        <w:t>8</w:t>
      </w:r>
      <w:r w:rsidRPr="006E6311">
        <w:rPr>
          <w:i/>
          <w:lang w:val="hr-HR"/>
        </w:rPr>
        <w:t>.</w:t>
      </w:r>
      <w:r w:rsidR="009D478D">
        <w:rPr>
          <w:i/>
          <w:lang w:val="hr-HR"/>
        </w:rPr>
        <w:tab/>
      </w:r>
      <w:r w:rsidR="009D478D">
        <w:rPr>
          <w:i/>
          <w:lang w:val="hr-HR"/>
        </w:rPr>
        <w:br/>
      </w:r>
      <w:r w:rsidR="006E6311" w:rsidRPr="006E6311">
        <w:rPr>
          <w:noProof/>
          <w:lang w:val="hr-HR" w:eastAsia="hr-HR"/>
        </w:rPr>
        <w:drawing>
          <wp:inline distT="0" distB="0" distL="0" distR="0" wp14:anchorId="531CD71B" wp14:editId="147515A1">
            <wp:extent cx="6409876" cy="2977286"/>
            <wp:effectExtent l="0" t="0" r="0" b="0"/>
            <wp:docPr id="28" name="Slik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520177" cy="3028519"/>
                    </a:xfrm>
                    <a:prstGeom prst="rect">
                      <a:avLst/>
                    </a:prstGeom>
                    <a:noFill/>
                  </pic:spPr>
                </pic:pic>
              </a:graphicData>
            </a:graphic>
          </wp:inline>
        </w:drawing>
      </w:r>
      <w:r w:rsidRPr="006E6311">
        <w:rPr>
          <w:rFonts w:ascii="Calibri" w:hAnsi="Calibri"/>
          <w:i/>
          <w:sz w:val="20"/>
          <w:szCs w:val="20"/>
          <w:lang w:val="hr-HR"/>
        </w:rPr>
        <w:t>Izvor: DZS, HNB, Ministarstvo financija</w:t>
      </w:r>
    </w:p>
    <w:p w14:paraId="225DBABB" w14:textId="77777777" w:rsidR="00973432" w:rsidRDefault="00973432" w:rsidP="0034496D">
      <w:pPr>
        <w:spacing w:after="120"/>
        <w:rPr>
          <w:rFonts w:ascii="Calibri" w:hAnsi="Calibri"/>
          <w:i/>
          <w:sz w:val="20"/>
          <w:szCs w:val="20"/>
          <w:lang w:val="hr-HR"/>
        </w:rPr>
      </w:pPr>
    </w:p>
    <w:p w14:paraId="00D15FA5" w14:textId="03DAE9E2" w:rsidR="00FB09C3" w:rsidRDefault="003A2DF6" w:rsidP="009D478D">
      <w:pPr>
        <w:spacing w:after="120"/>
        <w:jc w:val="both"/>
        <w:rPr>
          <w:rFonts w:ascii="Calibri" w:hAnsi="Calibri"/>
          <w:i/>
          <w:sz w:val="20"/>
          <w:szCs w:val="20"/>
          <w:lang w:val="hr-HR"/>
        </w:rPr>
      </w:pPr>
      <w:r w:rsidRPr="00886596">
        <w:rPr>
          <w:i/>
          <w:lang w:val="hr-HR"/>
        </w:rPr>
        <w:lastRenderedPageBreak/>
        <w:t xml:space="preserve">Tablica </w:t>
      </w:r>
      <w:r w:rsidRPr="00886596">
        <w:rPr>
          <w:i/>
          <w:lang w:val="hr-HR"/>
        </w:rPr>
        <w:fldChar w:fldCharType="begin"/>
      </w:r>
      <w:r w:rsidRPr="00886596">
        <w:rPr>
          <w:i/>
          <w:lang w:val="hr-HR"/>
        </w:rPr>
        <w:instrText xml:space="preserve"> SEQ Tablica \* ARABIC </w:instrText>
      </w:r>
      <w:r w:rsidRPr="00886596">
        <w:rPr>
          <w:i/>
          <w:lang w:val="hr-HR"/>
        </w:rPr>
        <w:fldChar w:fldCharType="separate"/>
      </w:r>
      <w:r w:rsidR="004953C0">
        <w:rPr>
          <w:i/>
          <w:noProof/>
          <w:lang w:val="hr-HR"/>
        </w:rPr>
        <w:t>12</w:t>
      </w:r>
      <w:r w:rsidRPr="00886596">
        <w:rPr>
          <w:i/>
          <w:lang w:val="hr-HR"/>
        </w:rPr>
        <w:fldChar w:fldCharType="end"/>
      </w:r>
      <w:r w:rsidR="00B6639E" w:rsidRPr="00886596">
        <w:rPr>
          <w:i/>
          <w:lang w:val="hr-HR"/>
        </w:rPr>
        <w:t>: Javni dug po podsektorima opće države u razdoblju 20</w:t>
      </w:r>
      <w:r w:rsidR="005E3D94" w:rsidRPr="00886596">
        <w:rPr>
          <w:i/>
          <w:lang w:val="hr-HR"/>
        </w:rPr>
        <w:t>2</w:t>
      </w:r>
      <w:r w:rsidR="00886596" w:rsidRPr="00886596">
        <w:rPr>
          <w:i/>
          <w:lang w:val="hr-HR"/>
        </w:rPr>
        <w:t>4</w:t>
      </w:r>
      <w:r w:rsidR="00B6639E" w:rsidRPr="00886596">
        <w:rPr>
          <w:i/>
          <w:lang w:val="hr-HR"/>
        </w:rPr>
        <w:t>. – 202</w:t>
      </w:r>
      <w:r w:rsidR="00886596" w:rsidRPr="00886596">
        <w:rPr>
          <w:i/>
          <w:lang w:val="hr-HR"/>
        </w:rPr>
        <w:t>8</w:t>
      </w:r>
      <w:r w:rsidR="00B6639E" w:rsidRPr="00886596">
        <w:rPr>
          <w:i/>
          <w:lang w:val="hr-HR"/>
        </w:rPr>
        <w:t>.</w:t>
      </w:r>
      <w:r w:rsidR="00DC6FC7">
        <w:rPr>
          <w:i/>
          <w:lang w:val="hr-HR"/>
        </w:rPr>
        <w:tab/>
      </w:r>
      <w:r w:rsidR="00DC6FC7">
        <w:rPr>
          <w:i/>
          <w:lang w:val="hr-HR"/>
        </w:rPr>
        <w:br/>
      </w:r>
      <w:r w:rsidR="004D3C6F" w:rsidRPr="004D3C6F">
        <w:rPr>
          <w:noProof/>
          <w:lang w:val="hr-HR" w:eastAsia="hr-HR"/>
        </w:rPr>
        <w:drawing>
          <wp:inline distT="0" distB="0" distL="0" distR="0" wp14:anchorId="6ACB8DC3" wp14:editId="1E0A6E99">
            <wp:extent cx="6122822" cy="2780023"/>
            <wp:effectExtent l="0" t="0" r="0" b="1905"/>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33799" cy="2785007"/>
                    </a:xfrm>
                    <a:prstGeom prst="rect">
                      <a:avLst/>
                    </a:prstGeom>
                    <a:noFill/>
                    <a:ln>
                      <a:noFill/>
                    </a:ln>
                  </pic:spPr>
                </pic:pic>
              </a:graphicData>
            </a:graphic>
          </wp:inline>
        </w:drawing>
      </w:r>
      <w:r w:rsidR="005E3D94" w:rsidRPr="00886596">
        <w:rPr>
          <w:rFonts w:ascii="Calibri" w:hAnsi="Calibri"/>
          <w:i/>
          <w:sz w:val="20"/>
          <w:szCs w:val="20"/>
          <w:lang w:val="hr-HR"/>
        </w:rPr>
        <w:t>Izvor: Ministarstvo financija</w:t>
      </w:r>
    </w:p>
    <w:p w14:paraId="7B4EE9E5" w14:textId="77777777" w:rsidR="00EA71C0" w:rsidRDefault="00EA71C0" w:rsidP="008D1FF7">
      <w:pPr>
        <w:spacing w:after="120"/>
        <w:jc w:val="both"/>
        <w:rPr>
          <w:lang w:val="hr-HR"/>
        </w:rPr>
      </w:pPr>
    </w:p>
    <w:p w14:paraId="1D6FF5CC" w14:textId="77777777" w:rsidR="00916241" w:rsidRDefault="007024DB" w:rsidP="008D1FF7">
      <w:pPr>
        <w:spacing w:after="120"/>
        <w:jc w:val="both"/>
        <w:rPr>
          <w:lang w:val="hr-HR"/>
        </w:rPr>
      </w:pPr>
      <w:r>
        <w:rPr>
          <w:lang w:val="hr-HR"/>
        </w:rPr>
        <w:t>Kao što je prethodno prikazano, k</w:t>
      </w:r>
      <w:r w:rsidR="003D73AF">
        <w:rPr>
          <w:lang w:val="hr-HR"/>
        </w:rPr>
        <w:t>retanje manjka proračuna opće države i javnog duga u promatranom srednjoročnom razdoblju</w:t>
      </w:r>
      <w:r w:rsidR="00EA71C0" w:rsidRPr="00EA71C0">
        <w:t xml:space="preserve"> </w:t>
      </w:r>
      <w:r w:rsidR="00EA71C0" w:rsidRPr="00EA71C0">
        <w:rPr>
          <w:lang w:val="hr-HR"/>
        </w:rPr>
        <w:t>zadržat će se ispod referentnih granica od 3% BDP-a, odnosno 60% BDP-a te će biti</w:t>
      </w:r>
      <w:r w:rsidR="00034697">
        <w:rPr>
          <w:lang w:val="hr-HR"/>
        </w:rPr>
        <w:t xml:space="preserve"> </w:t>
      </w:r>
      <w:r w:rsidR="00916241">
        <w:rPr>
          <w:lang w:val="hr-HR"/>
        </w:rPr>
        <w:t xml:space="preserve">u skladu s </w:t>
      </w:r>
      <w:r w:rsidR="00885B26">
        <w:rPr>
          <w:lang w:val="hr-HR"/>
        </w:rPr>
        <w:t>odredb</w:t>
      </w:r>
      <w:r w:rsidR="00916241">
        <w:rPr>
          <w:lang w:val="hr-HR"/>
        </w:rPr>
        <w:t>ama</w:t>
      </w:r>
      <w:r w:rsidR="00885B26">
        <w:rPr>
          <w:lang w:val="hr-HR"/>
        </w:rPr>
        <w:t xml:space="preserve"> Pakta o stabilnosti i rastu.</w:t>
      </w:r>
    </w:p>
    <w:p w14:paraId="6B355F02" w14:textId="19EF1E16" w:rsidR="00C04919" w:rsidRDefault="00916241" w:rsidP="008D1FF7">
      <w:pPr>
        <w:spacing w:after="120"/>
        <w:jc w:val="both"/>
        <w:rPr>
          <w:lang w:val="hr-HR"/>
        </w:rPr>
      </w:pPr>
      <w:r>
        <w:rPr>
          <w:lang w:val="hr-HR"/>
        </w:rPr>
        <w:t>Revidiranim okvirom za ekonomsko upravljanje Europskom unijom, koji je stupio na snagu 30. travnja 2024.</w:t>
      </w:r>
      <w:r w:rsidR="00885B26">
        <w:rPr>
          <w:lang w:val="hr-HR"/>
        </w:rPr>
        <w:t xml:space="preserve"> </w:t>
      </w:r>
      <w:r>
        <w:rPr>
          <w:lang w:val="hr-HR"/>
        </w:rPr>
        <w:t xml:space="preserve">fokus fiskalnog nadzora postala je putanja neto primarnih rashoda umjesto dotadašnjeg srednjoročnog fiskalnog cilja. </w:t>
      </w:r>
      <w:r w:rsidR="005E30E1">
        <w:rPr>
          <w:lang w:val="hr-HR"/>
        </w:rPr>
        <w:t>U siječnju 2025</w:t>
      </w:r>
      <w:r w:rsidR="0027578E">
        <w:rPr>
          <w:lang w:val="hr-HR"/>
        </w:rPr>
        <w:t xml:space="preserve">. </w:t>
      </w:r>
      <w:r w:rsidR="00034697">
        <w:rPr>
          <w:lang w:val="hr-HR"/>
        </w:rPr>
        <w:t xml:space="preserve">godine </w:t>
      </w:r>
      <w:r w:rsidR="0027578E" w:rsidRPr="0027578E">
        <w:rPr>
          <w:lang w:val="hr-HR"/>
        </w:rPr>
        <w:t xml:space="preserve">Vijeće EU usvojilo je preporuke kojima se definiraju obvezujuće putanje neto primarnih rashoda za 21 državu članicu EU, uključujući i </w:t>
      </w:r>
      <w:r w:rsidR="00260AE8">
        <w:rPr>
          <w:lang w:val="hr-HR"/>
        </w:rPr>
        <w:t xml:space="preserve">Hrvatsku </w:t>
      </w:r>
      <w:r w:rsidR="0027578E" w:rsidRPr="0027578E">
        <w:rPr>
          <w:lang w:val="hr-HR"/>
        </w:rPr>
        <w:t xml:space="preserve">. </w:t>
      </w:r>
      <w:r w:rsidR="00A83CB6">
        <w:rPr>
          <w:lang w:val="hr-HR"/>
        </w:rPr>
        <w:t xml:space="preserve">Tako je </w:t>
      </w:r>
      <w:r>
        <w:rPr>
          <w:lang w:val="hr-HR"/>
        </w:rPr>
        <w:t xml:space="preserve">za </w:t>
      </w:r>
      <w:r w:rsidR="00260AE8">
        <w:rPr>
          <w:lang w:val="hr-HR"/>
        </w:rPr>
        <w:t xml:space="preserve">Hrvatsku </w:t>
      </w:r>
      <w:r>
        <w:rPr>
          <w:lang w:val="hr-HR"/>
        </w:rPr>
        <w:t xml:space="preserve"> </w:t>
      </w:r>
      <w:r w:rsidR="00A83CB6">
        <w:rPr>
          <w:lang w:val="hr-HR"/>
        </w:rPr>
        <w:t>u 2025. stopa rasta neto primarnih rashoda određena na razini od 6,4%, u 2026. na razini od 4,9%, u 2027. na razini od 4,1%, a u 2028. godini na razini od 3,7%.</w:t>
      </w:r>
      <w:r w:rsidR="00C04919">
        <w:rPr>
          <w:lang w:val="hr-HR"/>
        </w:rPr>
        <w:t xml:space="preserve"> </w:t>
      </w:r>
    </w:p>
    <w:p w14:paraId="798AD000" w14:textId="056202C5" w:rsidR="009D478D" w:rsidRDefault="0027578E" w:rsidP="00EA71C0">
      <w:pPr>
        <w:spacing w:after="240"/>
        <w:jc w:val="both"/>
        <w:rPr>
          <w:rFonts w:ascii="Calibri" w:hAnsi="Calibri"/>
          <w:lang w:val="hr-HR"/>
        </w:rPr>
      </w:pPr>
      <w:r w:rsidRPr="0027578E">
        <w:rPr>
          <w:rFonts w:ascii="Calibri" w:hAnsi="Calibri"/>
          <w:lang w:val="hr-HR"/>
        </w:rPr>
        <w:t>Hrvatska je 27. svibnja 2025. Vijeću i Komisiji podnijela zahtjev za aktivaciju nacionalne klauzule o odstupanju, a potom je Vijeće EU 8. srpnja 2025. odobrilo aktivaciju nacionalne klauzule o odstupanju za</w:t>
      </w:r>
      <w:r w:rsidR="00260AE8">
        <w:rPr>
          <w:rFonts w:ascii="Calibri" w:hAnsi="Calibri"/>
          <w:lang w:val="hr-HR"/>
        </w:rPr>
        <w:t>Hrvatsku</w:t>
      </w:r>
      <w:r w:rsidRPr="0027578E">
        <w:rPr>
          <w:rFonts w:ascii="Calibri" w:hAnsi="Calibri"/>
          <w:lang w:val="hr-HR"/>
        </w:rPr>
        <w:t xml:space="preserve">. Time se Hrvatskoj u razdoblju 2025. – 2028. dopušta odstupanje od putanje neto primarnih rashoda utvrđene u siječnju, za iznos povećanja </w:t>
      </w:r>
      <w:r w:rsidR="008A70B6">
        <w:rPr>
          <w:rFonts w:ascii="Calibri" w:hAnsi="Calibri"/>
          <w:lang w:val="hr-HR"/>
        </w:rPr>
        <w:t xml:space="preserve">financiranja </w:t>
      </w:r>
      <w:r w:rsidRPr="0027578E">
        <w:rPr>
          <w:rFonts w:ascii="Calibri" w:hAnsi="Calibri"/>
          <w:lang w:val="hr-HR"/>
        </w:rPr>
        <w:t>udjela rashoda za obranu u BDP-u u usporedbi s referentnom 2021. godinom, ukoliko navedeno ods</w:t>
      </w:r>
      <w:r w:rsidR="00B3653F">
        <w:rPr>
          <w:rFonts w:ascii="Calibri" w:hAnsi="Calibri"/>
          <w:lang w:val="hr-HR"/>
        </w:rPr>
        <w:t>tupanje ne premašuje 1,5% BDP-a</w:t>
      </w:r>
      <w:r w:rsidRPr="0027578E">
        <w:rPr>
          <w:rFonts w:ascii="Calibri" w:hAnsi="Calibri"/>
          <w:lang w:val="hr-HR"/>
        </w:rPr>
        <w:t xml:space="preserve">. </w:t>
      </w:r>
      <w:r w:rsidR="00A83CB6">
        <w:rPr>
          <w:rFonts w:ascii="Calibri" w:hAnsi="Calibri"/>
          <w:lang w:val="hr-HR"/>
        </w:rPr>
        <w:t>Projekcije pokazuju da će se r</w:t>
      </w:r>
      <w:r w:rsidR="00B3653F">
        <w:rPr>
          <w:rFonts w:ascii="Calibri" w:hAnsi="Calibri"/>
          <w:lang w:val="hr-HR"/>
        </w:rPr>
        <w:t>ashodi za obranu, promatrano prema COFOG klasifikaciji Europske unije</w:t>
      </w:r>
      <w:r w:rsidR="007A7EDB">
        <w:rPr>
          <w:rStyle w:val="FootnoteReference"/>
          <w:rFonts w:ascii="Calibri" w:hAnsi="Calibri"/>
          <w:lang w:val="hr-HR"/>
        </w:rPr>
        <w:footnoteReference w:id="5"/>
      </w:r>
      <w:r w:rsidR="00B3653F">
        <w:rPr>
          <w:rFonts w:ascii="Calibri" w:hAnsi="Calibri"/>
          <w:lang w:val="hr-HR"/>
        </w:rPr>
        <w:t xml:space="preserve">, </w:t>
      </w:r>
      <w:r w:rsidR="00A83CB6">
        <w:rPr>
          <w:rFonts w:ascii="Calibri" w:hAnsi="Calibri"/>
          <w:lang w:val="hr-HR"/>
        </w:rPr>
        <w:t xml:space="preserve">kretati </w:t>
      </w:r>
      <w:r w:rsidR="00B3653F">
        <w:rPr>
          <w:rFonts w:ascii="Calibri" w:hAnsi="Calibri"/>
          <w:lang w:val="hr-HR"/>
        </w:rPr>
        <w:t>na razini od 1,5% BDP-a u razdoblju 2025.</w:t>
      </w:r>
      <w:r w:rsidR="00034697">
        <w:rPr>
          <w:rFonts w:ascii="Calibri" w:hAnsi="Calibri"/>
          <w:lang w:val="hr-HR"/>
        </w:rPr>
        <w:t xml:space="preserve"> </w:t>
      </w:r>
      <w:r w:rsidR="00B3653F">
        <w:rPr>
          <w:rFonts w:ascii="Calibri" w:hAnsi="Calibri"/>
          <w:lang w:val="hr-HR"/>
        </w:rPr>
        <w:t>-</w:t>
      </w:r>
      <w:r w:rsidR="00034697">
        <w:rPr>
          <w:rFonts w:ascii="Calibri" w:hAnsi="Calibri"/>
          <w:lang w:val="hr-HR"/>
        </w:rPr>
        <w:t xml:space="preserve"> </w:t>
      </w:r>
      <w:r w:rsidR="00B3653F">
        <w:rPr>
          <w:rFonts w:ascii="Calibri" w:hAnsi="Calibri"/>
          <w:lang w:val="hr-HR"/>
        </w:rPr>
        <w:t xml:space="preserve">2027. te </w:t>
      </w:r>
      <w:r w:rsidR="00EA71C0">
        <w:rPr>
          <w:rFonts w:ascii="Calibri" w:hAnsi="Calibri"/>
          <w:lang w:val="hr-HR"/>
        </w:rPr>
        <w:t>snažno pora</w:t>
      </w:r>
      <w:r w:rsidR="00034697">
        <w:rPr>
          <w:rFonts w:ascii="Calibri" w:hAnsi="Calibri"/>
          <w:lang w:val="hr-HR"/>
        </w:rPr>
        <w:t>s</w:t>
      </w:r>
      <w:r w:rsidR="00EA71C0">
        <w:rPr>
          <w:rFonts w:ascii="Calibri" w:hAnsi="Calibri"/>
          <w:lang w:val="hr-HR"/>
        </w:rPr>
        <w:t xml:space="preserve">ti na </w:t>
      </w:r>
      <w:r w:rsidR="00B3653F">
        <w:rPr>
          <w:rFonts w:ascii="Calibri" w:hAnsi="Calibri"/>
          <w:lang w:val="hr-HR"/>
        </w:rPr>
        <w:t>2,2% BDP-a u 2028. godini</w:t>
      </w:r>
      <w:r w:rsidR="00A83CB6">
        <w:rPr>
          <w:rFonts w:ascii="Calibri" w:hAnsi="Calibri"/>
          <w:lang w:val="hr-HR"/>
        </w:rPr>
        <w:t xml:space="preserve">. </w:t>
      </w:r>
      <w:r w:rsidR="00EA71C0">
        <w:rPr>
          <w:rFonts w:ascii="Calibri" w:hAnsi="Calibri"/>
          <w:lang w:val="hr-HR"/>
        </w:rPr>
        <w:t>Kumulativno o</w:t>
      </w:r>
      <w:r w:rsidR="00EA71C0" w:rsidRPr="00EA71C0">
        <w:rPr>
          <w:rFonts w:ascii="Calibri" w:hAnsi="Calibri"/>
          <w:lang w:val="hr-HR"/>
        </w:rPr>
        <w:t>dstupanje net</w:t>
      </w:r>
      <w:r w:rsidR="00EA71C0">
        <w:rPr>
          <w:rFonts w:ascii="Calibri" w:hAnsi="Calibri"/>
          <w:lang w:val="hr-HR"/>
        </w:rPr>
        <w:t xml:space="preserve">o primarnih rashoda opće države od preporučene putanje </w:t>
      </w:r>
      <w:r w:rsidR="00EA71C0" w:rsidRPr="00EA71C0">
        <w:rPr>
          <w:rFonts w:ascii="Calibri" w:hAnsi="Calibri"/>
          <w:lang w:val="hr-HR"/>
        </w:rPr>
        <w:t>iznosi</w:t>
      </w:r>
      <w:r w:rsidR="00EA71C0">
        <w:rPr>
          <w:rFonts w:ascii="Calibri" w:hAnsi="Calibri"/>
          <w:lang w:val="hr-HR"/>
        </w:rPr>
        <w:t>t će 1</w:t>
      </w:r>
      <w:r w:rsidR="00EA71C0" w:rsidRPr="00EA71C0">
        <w:rPr>
          <w:rFonts w:ascii="Calibri" w:hAnsi="Calibri"/>
          <w:lang w:val="hr-HR"/>
        </w:rPr>
        <w:t xml:space="preserve">% BDP-a </w:t>
      </w:r>
      <w:r w:rsidR="00EA71C0">
        <w:rPr>
          <w:rFonts w:ascii="Calibri" w:hAnsi="Calibri"/>
          <w:lang w:val="hr-HR"/>
        </w:rPr>
        <w:t>za razdoblje 2025. -</w:t>
      </w:r>
      <w:r w:rsidR="00EA71C0" w:rsidRPr="00EA71C0">
        <w:rPr>
          <w:rFonts w:ascii="Calibri" w:hAnsi="Calibri"/>
          <w:lang w:val="hr-HR"/>
        </w:rPr>
        <w:t xml:space="preserve"> 2027. </w:t>
      </w:r>
      <w:r w:rsidR="00EA71C0">
        <w:rPr>
          <w:rFonts w:ascii="Calibri" w:hAnsi="Calibri"/>
          <w:lang w:val="hr-HR"/>
        </w:rPr>
        <w:t>da bi se pod utjecajem rasta rashoda za obranu povećalo na 1,5% BDP-a, promatramo li čitavo projekcijsko razdoblje 2025. - 2028. N</w:t>
      </w:r>
      <w:r w:rsidR="00EA71C0" w:rsidRPr="00EA71C0">
        <w:rPr>
          <w:rFonts w:ascii="Calibri" w:hAnsi="Calibri"/>
          <w:lang w:val="hr-HR"/>
        </w:rPr>
        <w:t xml:space="preserve">o uzimanjem u obzir dozvoljeno odstupanje </w:t>
      </w:r>
      <w:r w:rsidR="00EA71C0">
        <w:rPr>
          <w:rFonts w:ascii="Calibri" w:hAnsi="Calibri"/>
          <w:lang w:val="hr-HR"/>
        </w:rPr>
        <w:t xml:space="preserve">uslijed </w:t>
      </w:r>
      <w:r w:rsidR="00EA71C0" w:rsidRPr="00EA71C0">
        <w:rPr>
          <w:rFonts w:ascii="Calibri" w:hAnsi="Calibri"/>
          <w:lang w:val="hr-HR"/>
        </w:rPr>
        <w:t>povećanih rashoda za obranu</w:t>
      </w:r>
      <w:r w:rsidR="00EA71C0">
        <w:rPr>
          <w:rStyle w:val="FootnoteReference"/>
          <w:rFonts w:ascii="Calibri" w:hAnsi="Calibri"/>
          <w:lang w:val="hr-HR"/>
        </w:rPr>
        <w:footnoteReference w:id="6"/>
      </w:r>
      <w:r w:rsidR="00EA71C0" w:rsidRPr="00EA71C0">
        <w:rPr>
          <w:rFonts w:ascii="Calibri" w:hAnsi="Calibri"/>
          <w:lang w:val="hr-HR"/>
        </w:rPr>
        <w:t>, projekcija putanje neto primarnih rashoda opće države u razdoblju 2025.-2028. je u skladu s preporukama Vijeća EU.</w:t>
      </w:r>
      <w:r w:rsidR="009D478D">
        <w:rPr>
          <w:rFonts w:ascii="Calibri" w:hAnsi="Calibri"/>
          <w:lang w:val="hr-HR"/>
        </w:rPr>
        <w:br w:type="page"/>
      </w:r>
    </w:p>
    <w:p w14:paraId="5D5A8F01" w14:textId="77777777" w:rsidR="006B29CF" w:rsidRPr="00C439BD" w:rsidRDefault="006B29CF" w:rsidP="006B29CF">
      <w:pPr>
        <w:pStyle w:val="ListParagraph"/>
        <w:numPr>
          <w:ilvl w:val="1"/>
          <w:numId w:val="17"/>
        </w:numPr>
        <w:rPr>
          <w:rFonts w:asciiTheme="majorHAnsi" w:eastAsiaTheme="majorEastAsia" w:hAnsiTheme="majorHAnsi" w:cstheme="majorBidi"/>
          <w:b/>
          <w:bCs/>
          <w:color w:val="4F81BD" w:themeColor="accent1"/>
          <w:sz w:val="26"/>
          <w:szCs w:val="26"/>
          <w:lang w:val="hr-HR"/>
        </w:rPr>
      </w:pPr>
      <w:r w:rsidRPr="00C439BD">
        <w:rPr>
          <w:rFonts w:asciiTheme="majorHAnsi" w:eastAsiaTheme="majorEastAsia" w:hAnsiTheme="majorHAnsi" w:cstheme="majorBidi"/>
          <w:b/>
          <w:bCs/>
          <w:color w:val="4F81BD" w:themeColor="accent1"/>
          <w:sz w:val="26"/>
          <w:szCs w:val="26"/>
          <w:lang w:val="hr-HR"/>
        </w:rPr>
        <w:lastRenderedPageBreak/>
        <w:t>Fiskalni rizici i analiza osjetljivosti kretanja javnog duga</w:t>
      </w:r>
    </w:p>
    <w:p w14:paraId="762CEEB4" w14:textId="77777777" w:rsidR="006B29CF" w:rsidRPr="007879EE" w:rsidRDefault="006B29CF" w:rsidP="006B29CF">
      <w:pPr>
        <w:jc w:val="both"/>
        <w:rPr>
          <w:highlight w:val="yellow"/>
          <w:lang w:val="hr-HR"/>
        </w:rPr>
      </w:pPr>
      <w:r w:rsidRPr="00043A0C">
        <w:rPr>
          <w:lang w:val="hr-HR"/>
        </w:rPr>
        <w:t xml:space="preserve">Udio javnog duga u BDP-u je u razdoblju 2014. </w:t>
      </w:r>
      <w:r w:rsidR="00647F51" w:rsidRPr="00043A0C">
        <w:rPr>
          <w:lang w:val="hr-HR"/>
        </w:rPr>
        <w:t>-</w:t>
      </w:r>
      <w:r w:rsidRPr="00043A0C">
        <w:rPr>
          <w:lang w:val="hr-HR"/>
        </w:rPr>
        <w:t xml:space="preserve"> 2019. smanjen za 12,</w:t>
      </w:r>
      <w:r w:rsidR="004C6E6C" w:rsidRPr="00043A0C">
        <w:rPr>
          <w:lang w:val="hr-HR"/>
        </w:rPr>
        <w:t>3</w:t>
      </w:r>
      <w:r w:rsidRPr="00043A0C">
        <w:rPr>
          <w:lang w:val="hr-HR"/>
        </w:rPr>
        <w:t xml:space="preserve"> postotnih bodova, no zbog krize uzrokovane pandemijom koronavirusa, koja je dovela do velikih potreba za zaduživanjem, javni dug je u 2020. narastao za visokih 15,</w:t>
      </w:r>
      <w:r w:rsidR="002F6636" w:rsidRPr="00043A0C">
        <w:rPr>
          <w:lang w:val="hr-HR"/>
        </w:rPr>
        <w:t>6</w:t>
      </w:r>
      <w:r w:rsidRPr="00043A0C">
        <w:rPr>
          <w:lang w:val="hr-HR"/>
        </w:rPr>
        <w:t xml:space="preserve"> postotnih bodova u odnosu na godinu ranije. Snažan oporavak gospodarske aktivnosti </w:t>
      </w:r>
      <w:r w:rsidR="00805828" w:rsidRPr="00043A0C">
        <w:rPr>
          <w:lang w:val="hr-HR"/>
        </w:rPr>
        <w:t xml:space="preserve">u razdoblju </w:t>
      </w:r>
      <w:r w:rsidR="00A26609" w:rsidRPr="00043A0C">
        <w:rPr>
          <w:lang w:val="hr-HR"/>
        </w:rPr>
        <w:t>2</w:t>
      </w:r>
      <w:r w:rsidR="00564795" w:rsidRPr="00043A0C">
        <w:rPr>
          <w:lang w:val="hr-HR"/>
        </w:rPr>
        <w:t xml:space="preserve">021. </w:t>
      </w:r>
      <w:r w:rsidR="00647F51" w:rsidRPr="00043A0C">
        <w:rPr>
          <w:lang w:val="hr-HR"/>
        </w:rPr>
        <w:t>-</w:t>
      </w:r>
      <w:r w:rsidR="00564795" w:rsidRPr="00043A0C">
        <w:rPr>
          <w:lang w:val="hr-HR"/>
        </w:rPr>
        <w:t xml:space="preserve"> </w:t>
      </w:r>
      <w:r w:rsidR="00A26609" w:rsidRPr="00043A0C">
        <w:rPr>
          <w:lang w:val="hr-HR"/>
        </w:rPr>
        <w:t>202</w:t>
      </w:r>
      <w:r w:rsidR="002F6636" w:rsidRPr="00043A0C">
        <w:rPr>
          <w:lang w:val="hr-HR"/>
        </w:rPr>
        <w:t>4</w:t>
      </w:r>
      <w:r w:rsidR="00A26609" w:rsidRPr="00043A0C">
        <w:rPr>
          <w:lang w:val="hr-HR"/>
        </w:rPr>
        <w:t xml:space="preserve">. </w:t>
      </w:r>
      <w:r w:rsidRPr="00043A0C">
        <w:rPr>
          <w:lang w:val="hr-HR"/>
        </w:rPr>
        <w:t>ponovno dovodi do smanjenja javnog duga i to za</w:t>
      </w:r>
      <w:r w:rsidR="009A6E84" w:rsidRPr="00043A0C">
        <w:rPr>
          <w:lang w:val="hr-HR"/>
        </w:rPr>
        <w:t xml:space="preserve"> ukupno </w:t>
      </w:r>
      <w:r w:rsidR="002F6636" w:rsidRPr="00043A0C">
        <w:rPr>
          <w:lang w:val="hr-HR"/>
        </w:rPr>
        <w:t>29</w:t>
      </w:r>
      <w:r w:rsidR="00043A0C" w:rsidRPr="00043A0C">
        <w:rPr>
          <w:lang w:val="hr-HR"/>
        </w:rPr>
        <w:t>,1</w:t>
      </w:r>
      <w:r w:rsidR="00A26609" w:rsidRPr="00043A0C">
        <w:rPr>
          <w:lang w:val="hr-HR"/>
        </w:rPr>
        <w:t xml:space="preserve"> </w:t>
      </w:r>
      <w:r w:rsidRPr="00043A0C">
        <w:rPr>
          <w:lang w:val="hr-HR"/>
        </w:rPr>
        <w:t>postotnih bodova, čime su fiskalni rizici osjetno smanjeni</w:t>
      </w:r>
      <w:r w:rsidR="002F6636" w:rsidRPr="00043A0C">
        <w:rPr>
          <w:lang w:val="hr-HR"/>
        </w:rPr>
        <w:t>, dok javni dug prvi put nakon 2010. godine doseže razinu ispod referentne vrijednosti od 60%</w:t>
      </w:r>
      <w:r w:rsidRPr="00043A0C">
        <w:rPr>
          <w:lang w:val="hr-HR"/>
        </w:rPr>
        <w:t xml:space="preserve">. </w:t>
      </w:r>
      <w:r w:rsidR="002F6636" w:rsidRPr="00043A0C">
        <w:rPr>
          <w:lang w:val="hr-HR"/>
        </w:rPr>
        <w:t xml:space="preserve">Naime, javni dug </w:t>
      </w:r>
      <w:r w:rsidR="00043A0C" w:rsidRPr="00043A0C">
        <w:rPr>
          <w:lang w:val="hr-HR"/>
        </w:rPr>
        <w:t xml:space="preserve">je </w:t>
      </w:r>
      <w:r w:rsidR="002F6636" w:rsidRPr="00043A0C">
        <w:rPr>
          <w:lang w:val="hr-HR"/>
        </w:rPr>
        <w:t>u 2024. godini dosegnu</w:t>
      </w:r>
      <w:r w:rsidR="00043A0C" w:rsidRPr="00043A0C">
        <w:rPr>
          <w:lang w:val="hr-HR"/>
        </w:rPr>
        <w:t>o</w:t>
      </w:r>
      <w:r w:rsidR="002F6636" w:rsidRPr="00043A0C">
        <w:rPr>
          <w:lang w:val="hr-HR"/>
        </w:rPr>
        <w:t xml:space="preserve"> razinu od 57,4% BDP-a</w:t>
      </w:r>
      <w:r w:rsidR="00DA4D9C" w:rsidRPr="00043A0C">
        <w:rPr>
          <w:lang w:val="hr-HR"/>
        </w:rPr>
        <w:t xml:space="preserve">, što je izniman uspjeh i </w:t>
      </w:r>
      <w:r w:rsidR="008610C1" w:rsidRPr="00043A0C">
        <w:rPr>
          <w:lang w:val="hr-HR"/>
        </w:rPr>
        <w:t>doprinos fiskalnoj održivosti</w:t>
      </w:r>
      <w:r w:rsidR="002F6636" w:rsidRPr="00043A0C">
        <w:rPr>
          <w:lang w:val="hr-HR"/>
        </w:rPr>
        <w:t>.</w:t>
      </w:r>
    </w:p>
    <w:p w14:paraId="34CE6B53" w14:textId="77777777" w:rsidR="006B29CF" w:rsidRPr="007879EE" w:rsidRDefault="006B29CF" w:rsidP="006B29CF">
      <w:pPr>
        <w:jc w:val="both"/>
        <w:rPr>
          <w:highlight w:val="yellow"/>
          <w:lang w:val="hr-HR"/>
        </w:rPr>
      </w:pPr>
      <w:r w:rsidRPr="00043A0C">
        <w:rPr>
          <w:lang w:val="hr-HR"/>
        </w:rPr>
        <w:t xml:space="preserve">Unatoč tome, i nadalje je prisutna visoka razina javnog duga koja predstavlja izvor ranjivosti za hrvatsko gospodarstvo. </w:t>
      </w:r>
      <w:r w:rsidR="003D2ADE" w:rsidRPr="00043A0C">
        <w:rPr>
          <w:lang w:val="hr-HR"/>
        </w:rPr>
        <w:t>Bez obzira na smanjenje restriktivnosti monetarne politike</w:t>
      </w:r>
      <w:r w:rsidRPr="00043A0C">
        <w:rPr>
          <w:lang w:val="hr-HR"/>
        </w:rPr>
        <w:t>,</w:t>
      </w:r>
      <w:r w:rsidR="003D2ADE" w:rsidRPr="00043A0C">
        <w:rPr>
          <w:lang w:val="hr-HR"/>
        </w:rPr>
        <w:t xml:space="preserve"> moguće</w:t>
      </w:r>
      <w:r w:rsidRPr="00043A0C">
        <w:rPr>
          <w:lang w:val="hr-HR"/>
        </w:rPr>
        <w:t xml:space="preserve"> povećanje referentnih tržišnih kamatnih stopa dovelo bi do viših troškova </w:t>
      </w:r>
      <w:r w:rsidR="00A26609" w:rsidRPr="00043A0C">
        <w:rPr>
          <w:lang w:val="hr-HR"/>
        </w:rPr>
        <w:t>refinanciranja</w:t>
      </w:r>
      <w:r w:rsidRPr="00043A0C">
        <w:rPr>
          <w:lang w:val="hr-HR"/>
        </w:rPr>
        <w:t xml:space="preserve"> duga, što bi potencijalno moglo stvoriti pritisak na financiranje ostalih potreba države. U scenariju porasta EURIBOR-a</w:t>
      </w:r>
      <w:r w:rsidRPr="00043A0C">
        <w:rPr>
          <w:rStyle w:val="FootnoteReference"/>
          <w:lang w:val="hr-HR"/>
        </w:rPr>
        <w:footnoteReference w:id="7"/>
      </w:r>
      <w:r w:rsidRPr="00043A0C">
        <w:rPr>
          <w:lang w:val="hr-HR"/>
        </w:rPr>
        <w:t xml:space="preserve"> za 100 baznih bodova iznad osnovnog scenarija u čitavom razdoblju 202</w:t>
      </w:r>
      <w:r w:rsidR="00541100" w:rsidRPr="00043A0C">
        <w:rPr>
          <w:lang w:val="hr-HR"/>
        </w:rPr>
        <w:t>5</w:t>
      </w:r>
      <w:r w:rsidRPr="00043A0C">
        <w:rPr>
          <w:lang w:val="hr-HR"/>
        </w:rPr>
        <w:t>. - 202</w:t>
      </w:r>
      <w:r w:rsidR="00541100" w:rsidRPr="00043A0C">
        <w:rPr>
          <w:lang w:val="hr-HR"/>
        </w:rPr>
        <w:t>7</w:t>
      </w:r>
      <w:r w:rsidRPr="00043A0C">
        <w:rPr>
          <w:lang w:val="hr-HR"/>
        </w:rPr>
        <w:t>., udio javnog duga u BDP-u krajem projekcijskog razdoblja bio bi za 0,2 postotn</w:t>
      </w:r>
      <w:r w:rsidR="00647F51" w:rsidRPr="00043A0C">
        <w:rPr>
          <w:lang w:val="hr-HR"/>
        </w:rPr>
        <w:t>a</w:t>
      </w:r>
      <w:r w:rsidRPr="00043A0C">
        <w:rPr>
          <w:lang w:val="hr-HR"/>
        </w:rPr>
        <w:t xml:space="preserve"> boda veći nego u osnovnom scenariju.</w:t>
      </w:r>
    </w:p>
    <w:p w14:paraId="6DF81369" w14:textId="1C10EBB4" w:rsidR="006B29CF" w:rsidRPr="007879EE" w:rsidRDefault="006B29CF" w:rsidP="006B29CF">
      <w:pPr>
        <w:jc w:val="both"/>
        <w:rPr>
          <w:highlight w:val="yellow"/>
          <w:lang w:val="hr-HR"/>
        </w:rPr>
      </w:pPr>
      <w:r w:rsidRPr="00503E4F">
        <w:rPr>
          <w:lang w:val="hr-HR"/>
        </w:rPr>
        <w:t xml:space="preserve">Fiskalne projekcije u srednjoročnom razdoblju temelje se na makroekonomskim pretpostavkama predstavljenim u ovom dokumentu. Rizici povezani s nižom razinom gospodarske aktivnosti u odnosu na predstavljeni makroekonomski scenarij imali bi implikacije na očekivano kretanje fiskalnih veličina, posebice prihoda od poreza </w:t>
      </w:r>
      <w:r w:rsidRPr="00573E43">
        <w:rPr>
          <w:lang w:val="hr-HR"/>
        </w:rPr>
        <w:t>i socijalnih doprinosa u nadolazećem razdoblju, što bi dovelo do izravnog utjecaja na visinu salda proračuna opće države. Jedan od trenutno najizraženijih negativnih rizika odnosi se na moguća nepovoljnija kretanja potražnje</w:t>
      </w:r>
      <w:r w:rsidR="008610C1" w:rsidRPr="00573E43">
        <w:rPr>
          <w:lang w:val="hr-HR"/>
        </w:rPr>
        <w:t xml:space="preserve"> inozemnih partnera u EU</w:t>
      </w:r>
      <w:r w:rsidRPr="00573E43">
        <w:rPr>
          <w:lang w:val="hr-HR"/>
        </w:rPr>
        <w:t xml:space="preserve">. Uz pretpostavku </w:t>
      </w:r>
      <w:r w:rsidR="008610C1" w:rsidRPr="00573E43">
        <w:rPr>
          <w:lang w:val="hr-HR"/>
        </w:rPr>
        <w:t xml:space="preserve">smanjenja realnog BDP-a </w:t>
      </w:r>
      <w:r w:rsidRPr="00573E43">
        <w:rPr>
          <w:lang w:val="hr-HR"/>
        </w:rPr>
        <w:t xml:space="preserve">u </w:t>
      </w:r>
      <w:r w:rsidR="00260AE8">
        <w:rPr>
          <w:lang w:val="hr-HR"/>
        </w:rPr>
        <w:t>Hrvatskoj</w:t>
      </w:r>
      <w:r w:rsidRPr="00573E43">
        <w:rPr>
          <w:lang w:val="hr-HR"/>
        </w:rPr>
        <w:t xml:space="preserve"> za 1 postotni bod </w:t>
      </w:r>
      <w:r w:rsidR="00196694">
        <w:rPr>
          <w:lang w:val="hr-HR"/>
        </w:rPr>
        <w:t xml:space="preserve">u </w:t>
      </w:r>
      <w:r w:rsidR="001E3122">
        <w:rPr>
          <w:lang w:val="hr-HR"/>
        </w:rPr>
        <w:t>razdoblju 2025.-2028</w:t>
      </w:r>
      <w:r w:rsidR="008610C1" w:rsidRPr="00573E43">
        <w:rPr>
          <w:lang w:val="hr-HR"/>
        </w:rPr>
        <w:t xml:space="preserve">. </w:t>
      </w:r>
      <w:r w:rsidRPr="00573E43">
        <w:rPr>
          <w:lang w:val="hr-HR"/>
        </w:rPr>
        <w:t xml:space="preserve">u odnosu na osnovni scenarij, udio javnog duga u BDP-u </w:t>
      </w:r>
      <w:r w:rsidR="00573E43" w:rsidRPr="00573E43">
        <w:rPr>
          <w:lang w:val="hr-HR"/>
        </w:rPr>
        <w:t>na kraju projekcijskog razdoblja</w:t>
      </w:r>
      <w:r w:rsidRPr="00573E43">
        <w:rPr>
          <w:lang w:val="hr-HR"/>
        </w:rPr>
        <w:t xml:space="preserve"> bio bi </w:t>
      </w:r>
      <w:r w:rsidR="008610C1" w:rsidRPr="00573E43">
        <w:rPr>
          <w:lang w:val="hr-HR"/>
        </w:rPr>
        <w:t xml:space="preserve">za </w:t>
      </w:r>
      <w:r w:rsidR="00790C0E" w:rsidRPr="00573E43">
        <w:rPr>
          <w:lang w:val="hr-HR"/>
        </w:rPr>
        <w:t>2,</w:t>
      </w:r>
      <w:r w:rsidR="00B238FC" w:rsidRPr="00573E43">
        <w:rPr>
          <w:lang w:val="hr-HR"/>
        </w:rPr>
        <w:t>2</w:t>
      </w:r>
      <w:r w:rsidRPr="00573E43">
        <w:rPr>
          <w:lang w:val="hr-HR"/>
        </w:rPr>
        <w:t xml:space="preserve"> postotn</w:t>
      </w:r>
      <w:r w:rsidR="00B238FC" w:rsidRPr="00573E43">
        <w:rPr>
          <w:lang w:val="hr-HR"/>
        </w:rPr>
        <w:t>a</w:t>
      </w:r>
      <w:r w:rsidRPr="00573E43">
        <w:rPr>
          <w:lang w:val="hr-HR"/>
        </w:rPr>
        <w:t xml:space="preserve"> boda viši. </w:t>
      </w:r>
    </w:p>
    <w:p w14:paraId="610D8F30" w14:textId="502F0B57" w:rsidR="00BF6A2B" w:rsidRDefault="006B29CF" w:rsidP="00657176">
      <w:pPr>
        <w:jc w:val="both"/>
        <w:rPr>
          <w:highlight w:val="yellow"/>
          <w:lang w:val="hr-HR"/>
        </w:rPr>
      </w:pPr>
      <w:r w:rsidRPr="00573E43">
        <w:rPr>
          <w:lang w:val="hr-HR"/>
        </w:rPr>
        <w:t xml:space="preserve">Hrvatsko gospodarstvo suočava se i s brojnim drugim fiskalnim rizicima. </w:t>
      </w:r>
      <w:r w:rsidR="00647F51" w:rsidRPr="00573E43">
        <w:rPr>
          <w:lang w:val="hr-HR"/>
        </w:rPr>
        <w:t xml:space="preserve">Primjerice, mirovinski sustav </w:t>
      </w:r>
      <w:r w:rsidR="00260AE8">
        <w:rPr>
          <w:lang w:val="hr-HR"/>
        </w:rPr>
        <w:t>Hrvatske</w:t>
      </w:r>
      <w:r w:rsidR="00260AE8" w:rsidRPr="00573E43">
        <w:rPr>
          <w:lang w:val="hr-HR"/>
        </w:rPr>
        <w:t xml:space="preserve"> </w:t>
      </w:r>
      <w:r w:rsidR="00647F51" w:rsidRPr="00573E43">
        <w:rPr>
          <w:lang w:val="hr-HR"/>
        </w:rPr>
        <w:t>pod utjecajem je</w:t>
      </w:r>
      <w:r w:rsidRPr="00573E43">
        <w:rPr>
          <w:lang w:val="hr-HR"/>
        </w:rPr>
        <w:t xml:space="preserve"> nepovoljni</w:t>
      </w:r>
      <w:r w:rsidR="00647F51" w:rsidRPr="00573E43">
        <w:rPr>
          <w:lang w:val="hr-HR"/>
        </w:rPr>
        <w:t>h</w:t>
      </w:r>
      <w:r w:rsidRPr="00573E43">
        <w:rPr>
          <w:lang w:val="hr-HR"/>
        </w:rPr>
        <w:t xml:space="preserve"> demografski</w:t>
      </w:r>
      <w:r w:rsidR="00647F51" w:rsidRPr="00573E43">
        <w:rPr>
          <w:lang w:val="hr-HR"/>
        </w:rPr>
        <w:t>h</w:t>
      </w:r>
      <w:r w:rsidRPr="00573E43">
        <w:rPr>
          <w:lang w:val="hr-HR"/>
        </w:rPr>
        <w:t xml:space="preserve"> trendova </w:t>
      </w:r>
      <w:r w:rsidR="00647F51" w:rsidRPr="00573E43">
        <w:rPr>
          <w:lang w:val="hr-HR"/>
        </w:rPr>
        <w:t xml:space="preserve">vezano uz </w:t>
      </w:r>
      <w:r w:rsidRPr="00573E43">
        <w:rPr>
          <w:lang w:val="hr-HR"/>
        </w:rPr>
        <w:t>starenje stanovništva, odnosno smanjenje broja radno-aktivnog stanovništva, uz istodobno povećanje stanovništva starijeg od 65 godina. Jačanje takvih trendova stvori</w:t>
      </w:r>
      <w:r w:rsidR="00647F51" w:rsidRPr="00573E43">
        <w:rPr>
          <w:lang w:val="hr-HR"/>
        </w:rPr>
        <w:t>l</w:t>
      </w:r>
      <w:r w:rsidRPr="00573E43">
        <w:rPr>
          <w:lang w:val="hr-HR"/>
        </w:rPr>
        <w:t xml:space="preserve">o bi dodatan pritisak na sustav generacijske solidarnosti, a što bi moglo imati negativan učinak na održivost javnih financija u dugom roku. Osim toga, stanje nepodmirenih obveza u zdravstvenom sustavu predstavlja dodatni fiskalni rizik koji je potrebno adresirati provedbom strukturnih mjera usmjerenih ka financijskoj održivosti cjelokupnog zdravstvenog sustava. </w:t>
      </w:r>
    </w:p>
    <w:p w14:paraId="603B21F1" w14:textId="77777777" w:rsidR="00B967B7" w:rsidRDefault="00573E43" w:rsidP="00B967B7">
      <w:pPr>
        <w:jc w:val="both"/>
        <w:rPr>
          <w:lang w:val="hr-HR"/>
        </w:rPr>
      </w:pPr>
      <w:r w:rsidRPr="001E3122">
        <w:rPr>
          <w:lang w:val="hr-HR"/>
        </w:rPr>
        <w:t xml:space="preserve">Prihodi državnog proračuna, poglavito PDV, </w:t>
      </w:r>
      <w:r w:rsidR="00D86D61">
        <w:rPr>
          <w:lang w:val="hr-HR"/>
        </w:rPr>
        <w:t>vrlo su</w:t>
      </w:r>
      <w:r w:rsidRPr="001E3122">
        <w:rPr>
          <w:lang w:val="hr-HR"/>
        </w:rPr>
        <w:t xml:space="preserve"> osjetljivi na smanjenje osobne potrošnje stanovništva. U slučaju šoka lošijeg ostvarenja poreznih prihoda od on</w:t>
      </w:r>
      <w:r w:rsidR="00D86D61">
        <w:rPr>
          <w:lang w:val="hr-HR"/>
        </w:rPr>
        <w:t>ih</w:t>
      </w:r>
      <w:r w:rsidRPr="001E3122">
        <w:rPr>
          <w:lang w:val="hr-HR"/>
        </w:rPr>
        <w:t xml:space="preserve"> originalno planiran</w:t>
      </w:r>
      <w:r w:rsidR="00D86D61">
        <w:rPr>
          <w:lang w:val="hr-HR"/>
        </w:rPr>
        <w:t>ih</w:t>
      </w:r>
      <w:r w:rsidRPr="001E3122">
        <w:rPr>
          <w:lang w:val="hr-HR"/>
        </w:rPr>
        <w:t xml:space="preserve">, </w:t>
      </w:r>
      <w:r w:rsidR="00196694">
        <w:rPr>
          <w:lang w:val="hr-HR"/>
        </w:rPr>
        <w:t xml:space="preserve">manjak </w:t>
      </w:r>
      <w:r w:rsidRPr="001E3122">
        <w:rPr>
          <w:lang w:val="hr-HR"/>
        </w:rPr>
        <w:t xml:space="preserve">državnog proračuna bi bio veći nego </w:t>
      </w:r>
      <w:r w:rsidR="00D86D61">
        <w:rPr>
          <w:lang w:val="hr-HR"/>
        </w:rPr>
        <w:t>originalno</w:t>
      </w:r>
      <w:r w:rsidRPr="001E3122">
        <w:rPr>
          <w:lang w:val="hr-HR"/>
        </w:rPr>
        <w:t xml:space="preserve"> planirani te bi posljedično potrebe za zaduživanjem bile veće.</w:t>
      </w:r>
      <w:r w:rsidR="001E3122" w:rsidRPr="001E3122">
        <w:rPr>
          <w:lang w:val="hr-HR"/>
        </w:rPr>
        <w:t xml:space="preserve"> U situaciji šoka smanjenja ukupnih prihoda državnog proračuna u 2025. godini za 2%, ukupni javni dug bi na kraju projekcijskog razdoblja bio za 0,6 postotnih bodova veći nego u originalnoj projekciji.  </w:t>
      </w:r>
    </w:p>
    <w:p w14:paraId="5791FDE8" w14:textId="30B00E45" w:rsidR="00CE5EA8" w:rsidRDefault="00CE5EA8" w:rsidP="009D478D">
      <w:pPr>
        <w:jc w:val="both"/>
        <w:rPr>
          <w:lang w:val="hr-HR"/>
        </w:rPr>
      </w:pPr>
      <w:r w:rsidRPr="00B967B7">
        <w:rPr>
          <w:i/>
          <w:lang w:val="hr-HR"/>
        </w:rPr>
        <w:lastRenderedPageBreak/>
        <w:t xml:space="preserve">Grafikon </w:t>
      </w:r>
      <w:r w:rsidRPr="00B967B7">
        <w:rPr>
          <w:i/>
          <w:lang w:val="hr-HR"/>
        </w:rPr>
        <w:fldChar w:fldCharType="begin"/>
      </w:r>
      <w:r w:rsidRPr="00B967B7">
        <w:rPr>
          <w:i/>
          <w:lang w:val="hr-HR"/>
        </w:rPr>
        <w:instrText xml:space="preserve"> SEQ Grafikon \* ARABIC </w:instrText>
      </w:r>
      <w:r w:rsidRPr="00B967B7">
        <w:rPr>
          <w:i/>
          <w:lang w:val="hr-HR"/>
        </w:rPr>
        <w:fldChar w:fldCharType="separate"/>
      </w:r>
      <w:r w:rsidR="004953C0">
        <w:rPr>
          <w:i/>
          <w:noProof/>
          <w:lang w:val="hr-HR"/>
        </w:rPr>
        <w:t>2</w:t>
      </w:r>
      <w:r w:rsidRPr="00B967B7">
        <w:rPr>
          <w:i/>
          <w:lang w:val="hr-HR"/>
        </w:rPr>
        <w:fldChar w:fldCharType="end"/>
      </w:r>
      <w:r w:rsidRPr="00B967B7">
        <w:rPr>
          <w:i/>
          <w:lang w:val="hr-HR"/>
        </w:rPr>
        <w:t>: Testovi osjetljivosti javnog duga 2018. – 202</w:t>
      </w:r>
      <w:r w:rsidR="00B967B7" w:rsidRPr="00B967B7">
        <w:rPr>
          <w:i/>
          <w:lang w:val="hr-HR"/>
        </w:rPr>
        <w:t>8</w:t>
      </w:r>
      <w:r w:rsidRPr="00B967B7">
        <w:rPr>
          <w:i/>
          <w:lang w:val="hr-HR"/>
        </w:rPr>
        <w:t>.</w:t>
      </w:r>
      <w:r w:rsidR="009D478D">
        <w:rPr>
          <w:i/>
          <w:lang w:val="hr-HR"/>
        </w:rPr>
        <w:tab/>
      </w:r>
      <w:r w:rsidR="009D478D">
        <w:rPr>
          <w:i/>
          <w:lang w:val="hr-HR"/>
        </w:rPr>
        <w:br/>
      </w:r>
      <w:r w:rsidR="00B967B7" w:rsidRPr="00B967B7">
        <w:rPr>
          <w:noProof/>
          <w:lang w:val="hr-HR" w:eastAsia="hr-HR"/>
        </w:rPr>
        <w:drawing>
          <wp:inline distT="0" distB="0" distL="0" distR="0" wp14:anchorId="1141A7B2" wp14:editId="1ECB0F6A">
            <wp:extent cx="6256351" cy="2633514"/>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298560" cy="2651281"/>
                    </a:xfrm>
                    <a:prstGeom prst="rect">
                      <a:avLst/>
                    </a:prstGeom>
                    <a:noFill/>
                  </pic:spPr>
                </pic:pic>
              </a:graphicData>
            </a:graphic>
          </wp:inline>
        </w:drawing>
      </w:r>
      <w:r w:rsidRPr="00B967B7">
        <w:rPr>
          <w:rFonts w:ascii="Calibri" w:hAnsi="Calibri"/>
          <w:i/>
          <w:sz w:val="20"/>
          <w:szCs w:val="20"/>
          <w:lang w:val="hr-HR"/>
        </w:rPr>
        <w:t>Izvor: Ministarstvo financija</w:t>
      </w:r>
    </w:p>
    <w:p w14:paraId="16C68194" w14:textId="77777777" w:rsidR="00CE5EA8" w:rsidRDefault="00CE5EA8" w:rsidP="00657176">
      <w:pPr>
        <w:jc w:val="both"/>
        <w:rPr>
          <w:lang w:val="hr-HR"/>
        </w:rPr>
      </w:pPr>
    </w:p>
    <w:sectPr w:rsidR="00CE5EA8">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67289" w14:textId="77777777" w:rsidR="009500E6" w:rsidRDefault="009500E6" w:rsidP="007E7900">
      <w:pPr>
        <w:spacing w:after="0" w:line="240" w:lineRule="auto"/>
      </w:pPr>
      <w:r>
        <w:separator/>
      </w:r>
    </w:p>
  </w:endnote>
  <w:endnote w:type="continuationSeparator" w:id="0">
    <w:p w14:paraId="4C7CD145" w14:textId="77777777" w:rsidR="009500E6" w:rsidRDefault="009500E6" w:rsidP="007E7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14:paraId="56BE9CAD" w14:textId="0892AC76" w:rsidR="007879EE" w:rsidRPr="00927736" w:rsidRDefault="007879EE">
        <w:pPr>
          <w:pStyle w:val="Footer"/>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4953C0">
          <w:rPr>
            <w:noProof/>
            <w:sz w:val="20"/>
            <w:szCs w:val="20"/>
          </w:rPr>
          <w:t>21</w:t>
        </w:r>
        <w:r w:rsidRPr="00927736">
          <w:rPr>
            <w:noProof/>
            <w:sz w:val="20"/>
            <w:szCs w:val="20"/>
          </w:rPr>
          <w:fldChar w:fldCharType="end"/>
        </w:r>
      </w:p>
    </w:sdtContent>
  </w:sdt>
  <w:p w14:paraId="698D7DC6" w14:textId="77777777" w:rsidR="007879EE" w:rsidRDefault="007879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DF946" w14:textId="77777777" w:rsidR="009500E6" w:rsidRDefault="009500E6" w:rsidP="007E7900">
      <w:pPr>
        <w:spacing w:after="0" w:line="240" w:lineRule="auto"/>
      </w:pPr>
      <w:r>
        <w:separator/>
      </w:r>
    </w:p>
  </w:footnote>
  <w:footnote w:type="continuationSeparator" w:id="0">
    <w:p w14:paraId="4A940279" w14:textId="77777777" w:rsidR="009500E6" w:rsidRDefault="009500E6" w:rsidP="007E7900">
      <w:pPr>
        <w:spacing w:after="0" w:line="240" w:lineRule="auto"/>
      </w:pPr>
      <w:r>
        <w:continuationSeparator/>
      </w:r>
    </w:p>
  </w:footnote>
  <w:footnote w:id="1">
    <w:p w14:paraId="16B85720" w14:textId="77777777" w:rsidR="007879EE" w:rsidRPr="00E31870" w:rsidRDefault="007879EE" w:rsidP="00E31870">
      <w:pPr>
        <w:spacing w:after="0" w:line="240" w:lineRule="auto"/>
        <w:jc w:val="both"/>
        <w:rPr>
          <w:sz w:val="18"/>
          <w:szCs w:val="18"/>
        </w:rPr>
      </w:pPr>
      <w:r w:rsidRPr="00E31870">
        <w:rPr>
          <w:rFonts w:ascii="Calibri" w:eastAsia="Calibri" w:hAnsi="Calibri" w:cs="Calibri"/>
          <w:sz w:val="18"/>
          <w:szCs w:val="18"/>
          <w:vertAlign w:val="superscript"/>
        </w:rPr>
        <w:footnoteRef/>
      </w:r>
      <w:r w:rsidRPr="00E31870">
        <w:rPr>
          <w:rFonts w:ascii="Calibri" w:eastAsia="Calibri" w:hAnsi="Calibri" w:cs="Calibri"/>
          <w:sz w:val="18"/>
          <w:szCs w:val="18"/>
        </w:rPr>
        <w:t xml:space="preserve"> </w:t>
      </w:r>
      <w:r w:rsidRPr="00E31870">
        <w:rPr>
          <w:sz w:val="18"/>
          <w:szCs w:val="18"/>
        </w:rPr>
        <w:t xml:space="preserve">ECB staff macroeconomic projections for the euro area, September </w:t>
      </w:r>
      <w:r w:rsidRPr="00E31870">
        <w:rPr>
          <w:rFonts w:ascii="Calibri" w:eastAsia="Calibri" w:hAnsi="Calibri" w:cs="Calibri"/>
          <w:sz w:val="18"/>
          <w:szCs w:val="18"/>
        </w:rPr>
        <w:t>2025.</w:t>
      </w:r>
    </w:p>
  </w:footnote>
  <w:footnote w:id="2">
    <w:p w14:paraId="38F322DE" w14:textId="77777777" w:rsidR="007879EE" w:rsidRPr="00E31870" w:rsidRDefault="007879EE" w:rsidP="00E31870">
      <w:pPr>
        <w:spacing w:after="0" w:line="240" w:lineRule="auto"/>
        <w:jc w:val="both"/>
        <w:rPr>
          <w:sz w:val="18"/>
          <w:szCs w:val="18"/>
        </w:rPr>
      </w:pPr>
      <w:r w:rsidRPr="00E31870">
        <w:rPr>
          <w:sz w:val="18"/>
          <w:szCs w:val="18"/>
          <w:vertAlign w:val="superscript"/>
        </w:rPr>
        <w:footnoteRef/>
      </w:r>
      <w:r w:rsidRPr="00E31870">
        <w:rPr>
          <w:sz w:val="18"/>
          <w:szCs w:val="18"/>
        </w:rPr>
        <w:t xml:space="preserve"> World Economic Outlook, October 2025.</w:t>
      </w:r>
    </w:p>
  </w:footnote>
  <w:footnote w:id="3">
    <w:p w14:paraId="628D79FC" w14:textId="77777777" w:rsidR="007879EE" w:rsidRDefault="007879EE" w:rsidP="00E31870">
      <w:pPr>
        <w:spacing w:after="0" w:line="240" w:lineRule="auto"/>
        <w:jc w:val="both"/>
      </w:pPr>
      <w:r w:rsidRPr="00E31870">
        <w:rPr>
          <w:rFonts w:ascii="Calibri" w:eastAsia="Calibri" w:hAnsi="Calibri" w:cs="Calibri"/>
          <w:sz w:val="18"/>
          <w:szCs w:val="18"/>
          <w:vertAlign w:val="superscript"/>
        </w:rPr>
        <w:footnoteRef/>
      </w:r>
      <w:r w:rsidRPr="00E31870">
        <w:rPr>
          <w:rFonts w:ascii="Calibri" w:eastAsia="Calibri" w:hAnsi="Calibri" w:cs="Calibri"/>
          <w:sz w:val="18"/>
          <w:szCs w:val="18"/>
        </w:rPr>
        <w:t xml:space="preserve"> </w:t>
      </w:r>
      <w:r w:rsidRPr="00E31870">
        <w:rPr>
          <w:i/>
          <w:iCs/>
          <w:sz w:val="18"/>
          <w:szCs w:val="18"/>
          <w:lang w:val="en-US" w:bidi="en-US"/>
        </w:rPr>
        <w:t xml:space="preserve">Consensus Forecasts - Eastern Europe </w:t>
      </w:r>
      <w:r w:rsidRPr="00E31870">
        <w:rPr>
          <w:i/>
          <w:iCs/>
          <w:sz w:val="18"/>
          <w:szCs w:val="18"/>
        </w:rPr>
        <w:t xml:space="preserve">i </w:t>
      </w:r>
      <w:r w:rsidRPr="00E31870">
        <w:rPr>
          <w:i/>
          <w:iCs/>
          <w:sz w:val="18"/>
          <w:szCs w:val="18"/>
          <w:lang w:val="en-US" w:bidi="en-US"/>
        </w:rPr>
        <w:t>G-7 &amp; Western Europe.</w:t>
      </w:r>
    </w:p>
  </w:footnote>
  <w:footnote w:id="4">
    <w:p w14:paraId="688DA27E" w14:textId="77777777" w:rsidR="007879EE" w:rsidRPr="00DC6FC7" w:rsidRDefault="007879EE" w:rsidP="00E31870">
      <w:pPr>
        <w:spacing w:before="240" w:line="302" w:lineRule="auto"/>
        <w:jc w:val="both"/>
        <w:rPr>
          <w:sz w:val="18"/>
          <w:szCs w:val="18"/>
          <w:lang w:val="hr-HR"/>
        </w:rPr>
      </w:pPr>
      <w:r w:rsidRPr="00DC6FC7">
        <w:rPr>
          <w:rFonts w:ascii="Calibri" w:eastAsia="Calibri" w:hAnsi="Calibri" w:cs="Calibri"/>
          <w:sz w:val="18"/>
          <w:szCs w:val="18"/>
          <w:vertAlign w:val="superscript"/>
          <w:lang w:val="hr-HR"/>
        </w:rPr>
        <w:footnoteRef/>
      </w:r>
      <w:r w:rsidRPr="00DC6FC7">
        <w:rPr>
          <w:rFonts w:ascii="Calibri" w:eastAsia="Calibri" w:hAnsi="Calibri" w:cs="Calibri"/>
          <w:sz w:val="18"/>
          <w:szCs w:val="18"/>
          <w:lang w:val="hr-HR"/>
        </w:rPr>
        <w:t xml:space="preserve"> </w:t>
      </w:r>
      <w:r w:rsidRPr="00DC6FC7">
        <w:rPr>
          <w:sz w:val="18"/>
          <w:szCs w:val="18"/>
          <w:lang w:val="hr-HR"/>
        </w:rPr>
        <w:t>Prema objavi Državnog zavoda za statistiku o reviziji godišnjeg BDP-a do 2023. godine, unutar koje su novoobjavljeni podaci za 2024. i prvu polovicu 2025. i dalje privremeni, kategorija promjene zaliha zabilježila je u oba tromjesečja 2025. iznimno snažan negativan doprinos rastu BDP-a. Međutim, to ovdje ne analiziramo budući da privremena serija promjena zaliha obuhvaća statističku diskrepanciju, a koja posljedično dovodi do velikih odstupanja kod ne-aditivne strukture BDP-a u seriji u stalnim cijenama, u cijenama prethodne godine, referentna godina 2021. Struktura BDP-a s rashodne strane uobičajeno se ispravlja u kasnijim obračunima DZS-a.</w:t>
      </w:r>
    </w:p>
  </w:footnote>
  <w:footnote w:id="5">
    <w:p w14:paraId="1C9FB5D6" w14:textId="77777777" w:rsidR="007A7EDB" w:rsidRDefault="007A7EDB" w:rsidP="00034697">
      <w:pPr>
        <w:pStyle w:val="FootnoteText"/>
        <w:jc w:val="both"/>
      </w:pPr>
      <w:r>
        <w:rPr>
          <w:rStyle w:val="FootnoteReference"/>
        </w:rPr>
        <w:footnoteRef/>
      </w:r>
      <w:r>
        <w:t xml:space="preserve"> COFOG statistika – rashodi opće države prema funkcijskoj klasifikaciji.</w:t>
      </w:r>
    </w:p>
  </w:footnote>
  <w:footnote w:id="6">
    <w:p w14:paraId="360F8219" w14:textId="77777777" w:rsidR="00EA71C0" w:rsidRDefault="00EA71C0" w:rsidP="00034697">
      <w:pPr>
        <w:pStyle w:val="FootnoteText"/>
        <w:jc w:val="both"/>
      </w:pPr>
      <w:r>
        <w:rPr>
          <w:rStyle w:val="FootnoteReference"/>
        </w:rPr>
        <w:footnoteRef/>
      </w:r>
      <w:r>
        <w:t xml:space="preserve"> Rast rashoda za obranu u odnosu na referentnu 2021. godinu iznosi 0,5</w:t>
      </w:r>
      <w:r w:rsidR="006A20BF">
        <w:t xml:space="preserve"> postotnih bodova </w:t>
      </w:r>
      <w:r>
        <w:t>BDP-a u razdoblju 2025.</w:t>
      </w:r>
      <w:r w:rsidR="006A20BF">
        <w:t xml:space="preserve"> </w:t>
      </w:r>
      <w:r>
        <w:t>-</w:t>
      </w:r>
      <w:r w:rsidR="006A20BF">
        <w:t xml:space="preserve"> </w:t>
      </w:r>
      <w:r>
        <w:t>2027. odnosno 1,2</w:t>
      </w:r>
      <w:r w:rsidR="006A20BF">
        <w:t xml:space="preserve"> postotna boda BDP-a </w:t>
      </w:r>
      <w:r>
        <w:t>u 2028. godini.</w:t>
      </w:r>
    </w:p>
  </w:footnote>
  <w:footnote w:id="7">
    <w:p w14:paraId="0BFECB22" w14:textId="77777777" w:rsidR="007879EE" w:rsidRPr="006B29CF" w:rsidRDefault="007879EE" w:rsidP="006B29CF">
      <w:pPr>
        <w:pStyle w:val="FootnoteText"/>
        <w:jc w:val="both"/>
        <w:rPr>
          <w:rFonts w:asciiTheme="minorHAnsi" w:hAnsiTheme="minorHAnsi" w:cstheme="minorHAnsi"/>
          <w:i/>
        </w:rPr>
      </w:pPr>
      <w:r w:rsidRPr="006B29CF">
        <w:rPr>
          <w:rStyle w:val="FootnoteReference"/>
          <w:rFonts w:asciiTheme="minorHAnsi" w:hAnsiTheme="minorHAnsi" w:cstheme="minorHAnsi"/>
          <w:i/>
        </w:rPr>
        <w:footnoteRef/>
      </w:r>
      <w:r w:rsidRPr="006B29CF">
        <w:rPr>
          <w:rFonts w:asciiTheme="minorHAnsi" w:hAnsiTheme="minorHAnsi" w:cstheme="minorHAnsi"/>
          <w:i/>
        </w:rPr>
        <w:t xml:space="preserve"> Analiza osjetljivosti javnog duga na porast EURIBOR-a, kao i šok inozemne potražnje, izrađena je korištenjem strukturnog makroekonometrijskog modela hrvatskog gospodarstva razvijenog za Ministarstvo financija u suradnji sa stručnjacima iz Svjetske banke u okviru EU projekta „Razvoj strukturnog makroekonomskog modela hrvatskog gospodarstva“.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E52DE"/>
    <w:multiLevelType w:val="multilevel"/>
    <w:tmpl w:val="A4A845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1C60F74"/>
    <w:multiLevelType w:val="hybridMultilevel"/>
    <w:tmpl w:val="2116ADAC"/>
    <w:lvl w:ilvl="0" w:tplc="041A0001">
      <w:start w:val="1"/>
      <w:numFmt w:val="bullet"/>
      <w:lvlText w:val=""/>
      <w:lvlJc w:val="left"/>
      <w:pPr>
        <w:ind w:left="770" w:hanging="360"/>
      </w:pPr>
      <w:rPr>
        <w:rFonts w:ascii="Symbol" w:hAnsi="Symbol" w:hint="default"/>
      </w:rPr>
    </w:lvl>
    <w:lvl w:ilvl="1" w:tplc="041A0003" w:tentative="1">
      <w:start w:val="1"/>
      <w:numFmt w:val="bullet"/>
      <w:lvlText w:val="o"/>
      <w:lvlJc w:val="left"/>
      <w:pPr>
        <w:ind w:left="1490" w:hanging="360"/>
      </w:pPr>
      <w:rPr>
        <w:rFonts w:ascii="Courier New" w:hAnsi="Courier New" w:cs="Courier New" w:hint="default"/>
      </w:rPr>
    </w:lvl>
    <w:lvl w:ilvl="2" w:tplc="041A0005" w:tentative="1">
      <w:start w:val="1"/>
      <w:numFmt w:val="bullet"/>
      <w:lvlText w:val=""/>
      <w:lvlJc w:val="left"/>
      <w:pPr>
        <w:ind w:left="2210" w:hanging="360"/>
      </w:pPr>
      <w:rPr>
        <w:rFonts w:ascii="Wingdings" w:hAnsi="Wingdings" w:hint="default"/>
      </w:rPr>
    </w:lvl>
    <w:lvl w:ilvl="3" w:tplc="041A0001" w:tentative="1">
      <w:start w:val="1"/>
      <w:numFmt w:val="bullet"/>
      <w:lvlText w:val=""/>
      <w:lvlJc w:val="left"/>
      <w:pPr>
        <w:ind w:left="2930" w:hanging="360"/>
      </w:pPr>
      <w:rPr>
        <w:rFonts w:ascii="Symbol" w:hAnsi="Symbol" w:hint="default"/>
      </w:rPr>
    </w:lvl>
    <w:lvl w:ilvl="4" w:tplc="041A0003" w:tentative="1">
      <w:start w:val="1"/>
      <w:numFmt w:val="bullet"/>
      <w:lvlText w:val="o"/>
      <w:lvlJc w:val="left"/>
      <w:pPr>
        <w:ind w:left="3650" w:hanging="360"/>
      </w:pPr>
      <w:rPr>
        <w:rFonts w:ascii="Courier New" w:hAnsi="Courier New" w:cs="Courier New" w:hint="default"/>
      </w:rPr>
    </w:lvl>
    <w:lvl w:ilvl="5" w:tplc="041A0005" w:tentative="1">
      <w:start w:val="1"/>
      <w:numFmt w:val="bullet"/>
      <w:lvlText w:val=""/>
      <w:lvlJc w:val="left"/>
      <w:pPr>
        <w:ind w:left="4370" w:hanging="360"/>
      </w:pPr>
      <w:rPr>
        <w:rFonts w:ascii="Wingdings" w:hAnsi="Wingdings" w:hint="default"/>
      </w:rPr>
    </w:lvl>
    <w:lvl w:ilvl="6" w:tplc="041A0001" w:tentative="1">
      <w:start w:val="1"/>
      <w:numFmt w:val="bullet"/>
      <w:lvlText w:val=""/>
      <w:lvlJc w:val="left"/>
      <w:pPr>
        <w:ind w:left="5090" w:hanging="360"/>
      </w:pPr>
      <w:rPr>
        <w:rFonts w:ascii="Symbol" w:hAnsi="Symbol" w:hint="default"/>
      </w:rPr>
    </w:lvl>
    <w:lvl w:ilvl="7" w:tplc="041A0003" w:tentative="1">
      <w:start w:val="1"/>
      <w:numFmt w:val="bullet"/>
      <w:lvlText w:val="o"/>
      <w:lvlJc w:val="left"/>
      <w:pPr>
        <w:ind w:left="5810" w:hanging="360"/>
      </w:pPr>
      <w:rPr>
        <w:rFonts w:ascii="Courier New" w:hAnsi="Courier New" w:cs="Courier New" w:hint="default"/>
      </w:rPr>
    </w:lvl>
    <w:lvl w:ilvl="8" w:tplc="041A0005" w:tentative="1">
      <w:start w:val="1"/>
      <w:numFmt w:val="bullet"/>
      <w:lvlText w:val=""/>
      <w:lvlJc w:val="left"/>
      <w:pPr>
        <w:ind w:left="6530" w:hanging="360"/>
      </w:pPr>
      <w:rPr>
        <w:rFonts w:ascii="Wingdings" w:hAnsi="Wingdings" w:hint="default"/>
      </w:rPr>
    </w:lvl>
  </w:abstractNum>
  <w:abstractNum w:abstractNumId="2" w15:restartNumberingAfterBreak="0">
    <w:nsid w:val="1A89209D"/>
    <w:multiLevelType w:val="hybridMultilevel"/>
    <w:tmpl w:val="AF8E659C"/>
    <w:lvl w:ilvl="0" w:tplc="133ADB78">
      <w:numFmt w:val="bullet"/>
      <w:lvlText w:val="•"/>
      <w:lvlJc w:val="left"/>
      <w:pPr>
        <w:ind w:left="1554" w:hanging="420"/>
      </w:pPr>
      <w:rPr>
        <w:rFonts w:ascii="Calibri" w:eastAsiaTheme="minorHAnsi" w:hAnsi="Calibri" w:cs="Calibri" w:hint="default"/>
      </w:rPr>
    </w:lvl>
    <w:lvl w:ilvl="1" w:tplc="041A0003">
      <w:start w:val="1"/>
      <w:numFmt w:val="bullet"/>
      <w:lvlText w:val="o"/>
      <w:lvlJc w:val="left"/>
      <w:pPr>
        <w:ind w:left="2214" w:hanging="360"/>
      </w:pPr>
      <w:rPr>
        <w:rFonts w:ascii="Courier New" w:hAnsi="Courier New" w:cs="Courier New" w:hint="default"/>
      </w:rPr>
    </w:lvl>
    <w:lvl w:ilvl="2" w:tplc="041A0005">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abstractNum w:abstractNumId="3" w15:restartNumberingAfterBreak="0">
    <w:nsid w:val="1D933535"/>
    <w:multiLevelType w:val="hybridMultilevel"/>
    <w:tmpl w:val="BFB069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2E677D3"/>
    <w:multiLevelType w:val="hybridMultilevel"/>
    <w:tmpl w:val="4DAE89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5990F61"/>
    <w:multiLevelType w:val="hybridMultilevel"/>
    <w:tmpl w:val="9334B9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B93B4E"/>
    <w:multiLevelType w:val="multilevel"/>
    <w:tmpl w:val="9F0E7832"/>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7E954F2"/>
    <w:multiLevelType w:val="hybridMultilevel"/>
    <w:tmpl w:val="4492F3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9282EAE"/>
    <w:multiLevelType w:val="hybridMultilevel"/>
    <w:tmpl w:val="7744F2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8759DF"/>
    <w:multiLevelType w:val="hybridMultilevel"/>
    <w:tmpl w:val="4468C3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EB3AE5"/>
    <w:multiLevelType w:val="hybridMultilevel"/>
    <w:tmpl w:val="1256E414"/>
    <w:lvl w:ilvl="0" w:tplc="041A0019">
      <w:start w:val="1"/>
      <w:numFmt w:val="lowerLetter"/>
      <w:lvlText w:val="%1."/>
      <w:lvlJc w:val="left"/>
      <w:pPr>
        <w:ind w:left="720" w:hanging="360"/>
      </w:pPr>
      <w:rPr>
        <w:b w:val="0"/>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2D640655"/>
    <w:multiLevelType w:val="hybridMultilevel"/>
    <w:tmpl w:val="55E45D12"/>
    <w:lvl w:ilvl="0" w:tplc="041A0001">
      <w:start w:val="1"/>
      <w:numFmt w:val="bullet"/>
      <w:lvlText w:val=""/>
      <w:lvlJc w:val="left"/>
      <w:pPr>
        <w:ind w:left="770" w:hanging="360"/>
      </w:pPr>
      <w:rPr>
        <w:rFonts w:ascii="Symbol" w:hAnsi="Symbol" w:hint="default"/>
      </w:rPr>
    </w:lvl>
    <w:lvl w:ilvl="1" w:tplc="041A0003" w:tentative="1">
      <w:start w:val="1"/>
      <w:numFmt w:val="bullet"/>
      <w:lvlText w:val="o"/>
      <w:lvlJc w:val="left"/>
      <w:pPr>
        <w:ind w:left="1490" w:hanging="360"/>
      </w:pPr>
      <w:rPr>
        <w:rFonts w:ascii="Courier New" w:hAnsi="Courier New" w:cs="Courier New" w:hint="default"/>
      </w:rPr>
    </w:lvl>
    <w:lvl w:ilvl="2" w:tplc="041A0005" w:tentative="1">
      <w:start w:val="1"/>
      <w:numFmt w:val="bullet"/>
      <w:lvlText w:val=""/>
      <w:lvlJc w:val="left"/>
      <w:pPr>
        <w:ind w:left="2210" w:hanging="360"/>
      </w:pPr>
      <w:rPr>
        <w:rFonts w:ascii="Wingdings" w:hAnsi="Wingdings" w:hint="default"/>
      </w:rPr>
    </w:lvl>
    <w:lvl w:ilvl="3" w:tplc="041A0001" w:tentative="1">
      <w:start w:val="1"/>
      <w:numFmt w:val="bullet"/>
      <w:lvlText w:val=""/>
      <w:lvlJc w:val="left"/>
      <w:pPr>
        <w:ind w:left="2930" w:hanging="360"/>
      </w:pPr>
      <w:rPr>
        <w:rFonts w:ascii="Symbol" w:hAnsi="Symbol" w:hint="default"/>
      </w:rPr>
    </w:lvl>
    <w:lvl w:ilvl="4" w:tplc="041A0003" w:tentative="1">
      <w:start w:val="1"/>
      <w:numFmt w:val="bullet"/>
      <w:lvlText w:val="o"/>
      <w:lvlJc w:val="left"/>
      <w:pPr>
        <w:ind w:left="3650" w:hanging="360"/>
      </w:pPr>
      <w:rPr>
        <w:rFonts w:ascii="Courier New" w:hAnsi="Courier New" w:cs="Courier New" w:hint="default"/>
      </w:rPr>
    </w:lvl>
    <w:lvl w:ilvl="5" w:tplc="041A0005" w:tentative="1">
      <w:start w:val="1"/>
      <w:numFmt w:val="bullet"/>
      <w:lvlText w:val=""/>
      <w:lvlJc w:val="left"/>
      <w:pPr>
        <w:ind w:left="4370" w:hanging="360"/>
      </w:pPr>
      <w:rPr>
        <w:rFonts w:ascii="Wingdings" w:hAnsi="Wingdings" w:hint="default"/>
      </w:rPr>
    </w:lvl>
    <w:lvl w:ilvl="6" w:tplc="041A0001" w:tentative="1">
      <w:start w:val="1"/>
      <w:numFmt w:val="bullet"/>
      <w:lvlText w:val=""/>
      <w:lvlJc w:val="left"/>
      <w:pPr>
        <w:ind w:left="5090" w:hanging="360"/>
      </w:pPr>
      <w:rPr>
        <w:rFonts w:ascii="Symbol" w:hAnsi="Symbol" w:hint="default"/>
      </w:rPr>
    </w:lvl>
    <w:lvl w:ilvl="7" w:tplc="041A0003" w:tentative="1">
      <w:start w:val="1"/>
      <w:numFmt w:val="bullet"/>
      <w:lvlText w:val="o"/>
      <w:lvlJc w:val="left"/>
      <w:pPr>
        <w:ind w:left="5810" w:hanging="360"/>
      </w:pPr>
      <w:rPr>
        <w:rFonts w:ascii="Courier New" w:hAnsi="Courier New" w:cs="Courier New" w:hint="default"/>
      </w:rPr>
    </w:lvl>
    <w:lvl w:ilvl="8" w:tplc="041A0005" w:tentative="1">
      <w:start w:val="1"/>
      <w:numFmt w:val="bullet"/>
      <w:lvlText w:val=""/>
      <w:lvlJc w:val="left"/>
      <w:pPr>
        <w:ind w:left="6530" w:hanging="360"/>
      </w:pPr>
      <w:rPr>
        <w:rFonts w:ascii="Wingdings" w:hAnsi="Wingdings" w:hint="default"/>
      </w:rPr>
    </w:lvl>
  </w:abstractNum>
  <w:abstractNum w:abstractNumId="12" w15:restartNumberingAfterBreak="0">
    <w:nsid w:val="348A4F02"/>
    <w:multiLevelType w:val="multilevel"/>
    <w:tmpl w:val="0CDA6A26"/>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7E76567"/>
    <w:multiLevelType w:val="hybridMultilevel"/>
    <w:tmpl w:val="8E34CA02"/>
    <w:lvl w:ilvl="0" w:tplc="D5FCB39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62076D"/>
    <w:multiLevelType w:val="hybridMultilevel"/>
    <w:tmpl w:val="DE9800DC"/>
    <w:lvl w:ilvl="0" w:tplc="133ADB78">
      <w:numFmt w:val="bullet"/>
      <w:lvlText w:val="•"/>
      <w:lvlJc w:val="left"/>
      <w:pPr>
        <w:ind w:left="780" w:hanging="420"/>
      </w:pPr>
      <w:rPr>
        <w:rFonts w:ascii="Calibri" w:eastAsiaTheme="minorHAnsi" w:hAnsi="Calibri" w:cs="Calibri" w:hint="default"/>
      </w:rPr>
    </w:lvl>
    <w:lvl w:ilvl="1" w:tplc="61BE3BF6">
      <w:start w:val="1"/>
      <w:numFmt w:val="bullet"/>
      <w:lvlText w:val="ͦ"/>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1482162"/>
    <w:multiLevelType w:val="multilevel"/>
    <w:tmpl w:val="D5F472EA"/>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49DD6655"/>
    <w:multiLevelType w:val="hybridMultilevel"/>
    <w:tmpl w:val="2C3C54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0423EA3"/>
    <w:multiLevelType w:val="hybridMultilevel"/>
    <w:tmpl w:val="68DE9F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289111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45764BC"/>
    <w:multiLevelType w:val="multilevel"/>
    <w:tmpl w:val="0CDA6A26"/>
    <w:lvl w:ilvl="0">
      <w:start w:val="4"/>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F847B1"/>
    <w:multiLevelType w:val="hybridMultilevel"/>
    <w:tmpl w:val="0FF6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186BC7"/>
    <w:multiLevelType w:val="hybridMultilevel"/>
    <w:tmpl w:val="E7E4B900"/>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4C615E"/>
    <w:multiLevelType w:val="hybridMultilevel"/>
    <w:tmpl w:val="1D3A94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66454F7"/>
    <w:multiLevelType w:val="hybridMultilevel"/>
    <w:tmpl w:val="7FB48A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F63371"/>
    <w:multiLevelType w:val="multilevel"/>
    <w:tmpl w:val="0CDA6A26"/>
    <w:lvl w:ilvl="0">
      <w:start w:val="4"/>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D826C4A"/>
    <w:multiLevelType w:val="hybridMultilevel"/>
    <w:tmpl w:val="BBC617B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6" w15:restartNumberingAfterBreak="0">
    <w:nsid w:val="751D23DE"/>
    <w:multiLevelType w:val="multilevel"/>
    <w:tmpl w:val="C2C6C18C"/>
    <w:lvl w:ilvl="0">
      <w:start w:val="1"/>
      <w:numFmt w:val="decimal"/>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7" w15:restartNumberingAfterBreak="0">
    <w:nsid w:val="75AE6E86"/>
    <w:multiLevelType w:val="hybridMultilevel"/>
    <w:tmpl w:val="4AC6DF76"/>
    <w:lvl w:ilvl="0" w:tplc="309881A6">
      <w:numFmt w:val="bullet"/>
      <w:lvlText w:val="•"/>
      <w:lvlJc w:val="left"/>
      <w:pPr>
        <w:ind w:left="1080" w:hanging="72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62D5F00"/>
    <w:multiLevelType w:val="hybridMultilevel"/>
    <w:tmpl w:val="1262BCE4"/>
    <w:lvl w:ilvl="0" w:tplc="133ADB78">
      <w:numFmt w:val="bullet"/>
      <w:lvlText w:val="•"/>
      <w:lvlJc w:val="left"/>
      <w:pPr>
        <w:ind w:left="780" w:hanging="42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7A4A346C"/>
    <w:multiLevelType w:val="hybridMultilevel"/>
    <w:tmpl w:val="C7163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C982F60"/>
    <w:multiLevelType w:val="hybridMultilevel"/>
    <w:tmpl w:val="44F6E8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CB27D00"/>
    <w:multiLevelType w:val="multilevel"/>
    <w:tmpl w:val="5C46834A"/>
    <w:lvl w:ilvl="0">
      <w:start w:val="5"/>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3" w15:restartNumberingAfterBreak="0">
    <w:nsid w:val="7F1A6604"/>
    <w:multiLevelType w:val="hybridMultilevel"/>
    <w:tmpl w:val="F7FC2222"/>
    <w:lvl w:ilvl="0" w:tplc="515458E0">
      <w:start w:val="1"/>
      <w:numFmt w:val="bullet"/>
      <w:lvlText w:val=""/>
      <w:lvlJc w:val="left"/>
      <w:pPr>
        <w:ind w:left="1146" w:hanging="360"/>
      </w:pPr>
      <w:rPr>
        <w:rFonts w:ascii="Symbol" w:hAnsi="Symbol" w:hint="default"/>
      </w:rPr>
    </w:lvl>
    <w:lvl w:ilvl="1" w:tplc="041A0003">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num w:numId="1">
    <w:abstractNumId w:val="8"/>
  </w:num>
  <w:num w:numId="2">
    <w:abstractNumId w:val="29"/>
  </w:num>
  <w:num w:numId="3">
    <w:abstractNumId w:val="15"/>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20"/>
  </w:num>
  <w:num w:numId="7">
    <w:abstractNumId w:val="13"/>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10"/>
  </w:num>
  <w:num w:numId="10">
    <w:abstractNumId w:val="6"/>
  </w:num>
  <w:num w:numId="11">
    <w:abstractNumId w:val="9"/>
  </w:num>
  <w:num w:numId="12">
    <w:abstractNumId w:val="30"/>
  </w:num>
  <w:num w:numId="13">
    <w:abstractNumId w:val="18"/>
  </w:num>
  <w:num w:numId="14">
    <w:abstractNumId w:val="5"/>
  </w:num>
  <w:num w:numId="15">
    <w:abstractNumId w:val="0"/>
  </w:num>
  <w:num w:numId="16">
    <w:abstractNumId w:val="24"/>
  </w:num>
  <w:num w:numId="17">
    <w:abstractNumId w:val="12"/>
  </w:num>
  <w:num w:numId="18">
    <w:abstractNumId w:val="4"/>
  </w:num>
  <w:num w:numId="19">
    <w:abstractNumId w:val="23"/>
  </w:num>
  <w:num w:numId="20">
    <w:abstractNumId w:val="25"/>
  </w:num>
  <w:num w:numId="21">
    <w:abstractNumId w:val="31"/>
  </w:num>
  <w:num w:numId="22">
    <w:abstractNumId w:val="22"/>
  </w:num>
  <w:num w:numId="23">
    <w:abstractNumId w:val="3"/>
  </w:num>
  <w:num w:numId="24">
    <w:abstractNumId w:val="27"/>
  </w:num>
  <w:num w:numId="25">
    <w:abstractNumId w:val="17"/>
  </w:num>
  <w:num w:numId="26">
    <w:abstractNumId w:val="14"/>
  </w:num>
  <w:num w:numId="27">
    <w:abstractNumId w:val="28"/>
  </w:num>
  <w:num w:numId="28">
    <w:abstractNumId w:val="2"/>
  </w:num>
  <w:num w:numId="29">
    <w:abstractNumId w:val="21"/>
  </w:num>
  <w:num w:numId="30">
    <w:abstractNumId w:val="19"/>
  </w:num>
  <w:num w:numId="31">
    <w:abstractNumId w:val="7"/>
  </w:num>
  <w:num w:numId="32">
    <w:abstractNumId w:val="33"/>
  </w:num>
  <w:num w:numId="33">
    <w:abstractNumId w:val="11"/>
  </w:num>
  <w:num w:numId="34">
    <w:abstractNumId w:val="1"/>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821"/>
    <w:rsid w:val="00001797"/>
    <w:rsid w:val="00003BE9"/>
    <w:rsid w:val="000041F9"/>
    <w:rsid w:val="00005670"/>
    <w:rsid w:val="00007108"/>
    <w:rsid w:val="00010B99"/>
    <w:rsid w:val="000146B7"/>
    <w:rsid w:val="00020250"/>
    <w:rsid w:val="00023F21"/>
    <w:rsid w:val="00025DEB"/>
    <w:rsid w:val="000273FD"/>
    <w:rsid w:val="00032306"/>
    <w:rsid w:val="000324BA"/>
    <w:rsid w:val="00032F6C"/>
    <w:rsid w:val="00033315"/>
    <w:rsid w:val="00033D9E"/>
    <w:rsid w:val="0003434E"/>
    <w:rsid w:val="00034668"/>
    <w:rsid w:val="00034697"/>
    <w:rsid w:val="00035036"/>
    <w:rsid w:val="0003689A"/>
    <w:rsid w:val="0004017D"/>
    <w:rsid w:val="00041743"/>
    <w:rsid w:val="00041CE7"/>
    <w:rsid w:val="00043A0C"/>
    <w:rsid w:val="000445B7"/>
    <w:rsid w:val="000445C4"/>
    <w:rsid w:val="00044842"/>
    <w:rsid w:val="0004782B"/>
    <w:rsid w:val="0005495D"/>
    <w:rsid w:val="00055948"/>
    <w:rsid w:val="00057575"/>
    <w:rsid w:val="00057D08"/>
    <w:rsid w:val="0006024B"/>
    <w:rsid w:val="00060EE2"/>
    <w:rsid w:val="000618B5"/>
    <w:rsid w:val="000621DF"/>
    <w:rsid w:val="000628CD"/>
    <w:rsid w:val="00066FAC"/>
    <w:rsid w:val="00072B87"/>
    <w:rsid w:val="000738DE"/>
    <w:rsid w:val="00080B42"/>
    <w:rsid w:val="00080E35"/>
    <w:rsid w:val="00081BED"/>
    <w:rsid w:val="000821C5"/>
    <w:rsid w:val="00082B28"/>
    <w:rsid w:val="000855AC"/>
    <w:rsid w:val="000857E3"/>
    <w:rsid w:val="00086BAF"/>
    <w:rsid w:val="00086C72"/>
    <w:rsid w:val="000871CD"/>
    <w:rsid w:val="0009051B"/>
    <w:rsid w:val="00095080"/>
    <w:rsid w:val="00095377"/>
    <w:rsid w:val="00096060"/>
    <w:rsid w:val="000979A6"/>
    <w:rsid w:val="000A3D36"/>
    <w:rsid w:val="000A418E"/>
    <w:rsid w:val="000A5722"/>
    <w:rsid w:val="000B1E98"/>
    <w:rsid w:val="000B2784"/>
    <w:rsid w:val="000B2DA9"/>
    <w:rsid w:val="000B2F21"/>
    <w:rsid w:val="000B55D4"/>
    <w:rsid w:val="000B67B5"/>
    <w:rsid w:val="000C08C9"/>
    <w:rsid w:val="000D050A"/>
    <w:rsid w:val="000D0C63"/>
    <w:rsid w:val="000D27C1"/>
    <w:rsid w:val="000D3692"/>
    <w:rsid w:val="000D50A8"/>
    <w:rsid w:val="000E090A"/>
    <w:rsid w:val="000E22F7"/>
    <w:rsid w:val="000E2E51"/>
    <w:rsid w:val="000E5C14"/>
    <w:rsid w:val="000E707F"/>
    <w:rsid w:val="000E73C3"/>
    <w:rsid w:val="000F1DDD"/>
    <w:rsid w:val="000F3D4F"/>
    <w:rsid w:val="000F6871"/>
    <w:rsid w:val="000F6DBA"/>
    <w:rsid w:val="000F7890"/>
    <w:rsid w:val="00100006"/>
    <w:rsid w:val="0010391E"/>
    <w:rsid w:val="00105DF3"/>
    <w:rsid w:val="00111DAD"/>
    <w:rsid w:val="00113CB3"/>
    <w:rsid w:val="00113F3B"/>
    <w:rsid w:val="00114D5D"/>
    <w:rsid w:val="001217A8"/>
    <w:rsid w:val="00122821"/>
    <w:rsid w:val="001241B8"/>
    <w:rsid w:val="00125FFF"/>
    <w:rsid w:val="00127676"/>
    <w:rsid w:val="00130B61"/>
    <w:rsid w:val="001314C4"/>
    <w:rsid w:val="001331A6"/>
    <w:rsid w:val="00134BF2"/>
    <w:rsid w:val="00136392"/>
    <w:rsid w:val="00145C68"/>
    <w:rsid w:val="00145D0C"/>
    <w:rsid w:val="001470C9"/>
    <w:rsid w:val="0015106F"/>
    <w:rsid w:val="001515B2"/>
    <w:rsid w:val="00153C78"/>
    <w:rsid w:val="00155A78"/>
    <w:rsid w:val="00155FA2"/>
    <w:rsid w:val="00156F45"/>
    <w:rsid w:val="001571E6"/>
    <w:rsid w:val="00161922"/>
    <w:rsid w:val="00161F2C"/>
    <w:rsid w:val="00162BCE"/>
    <w:rsid w:val="00163A00"/>
    <w:rsid w:val="001675A4"/>
    <w:rsid w:val="001700DD"/>
    <w:rsid w:val="00174F1F"/>
    <w:rsid w:val="0017582C"/>
    <w:rsid w:val="001806A2"/>
    <w:rsid w:val="00181D76"/>
    <w:rsid w:val="0018432E"/>
    <w:rsid w:val="00185784"/>
    <w:rsid w:val="00186684"/>
    <w:rsid w:val="00186D57"/>
    <w:rsid w:val="001909CF"/>
    <w:rsid w:val="00190D86"/>
    <w:rsid w:val="00190F82"/>
    <w:rsid w:val="00191121"/>
    <w:rsid w:val="001943D2"/>
    <w:rsid w:val="00196694"/>
    <w:rsid w:val="001971CF"/>
    <w:rsid w:val="001A1C5C"/>
    <w:rsid w:val="001A2BA8"/>
    <w:rsid w:val="001A39AB"/>
    <w:rsid w:val="001A595D"/>
    <w:rsid w:val="001A77A4"/>
    <w:rsid w:val="001B0D04"/>
    <w:rsid w:val="001B159D"/>
    <w:rsid w:val="001B291B"/>
    <w:rsid w:val="001B5E11"/>
    <w:rsid w:val="001B797D"/>
    <w:rsid w:val="001C074C"/>
    <w:rsid w:val="001C244E"/>
    <w:rsid w:val="001C41A4"/>
    <w:rsid w:val="001C4ED7"/>
    <w:rsid w:val="001C5C94"/>
    <w:rsid w:val="001C63C2"/>
    <w:rsid w:val="001D0189"/>
    <w:rsid w:val="001D2009"/>
    <w:rsid w:val="001D4565"/>
    <w:rsid w:val="001D5C86"/>
    <w:rsid w:val="001D7FF7"/>
    <w:rsid w:val="001E3122"/>
    <w:rsid w:val="001E7956"/>
    <w:rsid w:val="001F0BFA"/>
    <w:rsid w:val="001F1EBE"/>
    <w:rsid w:val="001F3879"/>
    <w:rsid w:val="001F3B06"/>
    <w:rsid w:val="001F4192"/>
    <w:rsid w:val="001F479B"/>
    <w:rsid w:val="001F5691"/>
    <w:rsid w:val="001F744E"/>
    <w:rsid w:val="00205AC5"/>
    <w:rsid w:val="0021206D"/>
    <w:rsid w:val="00212A2A"/>
    <w:rsid w:val="00213AAF"/>
    <w:rsid w:val="00215ACC"/>
    <w:rsid w:val="00215B63"/>
    <w:rsid w:val="00217287"/>
    <w:rsid w:val="00217E6B"/>
    <w:rsid w:val="0022189C"/>
    <w:rsid w:val="00223521"/>
    <w:rsid w:val="00223C14"/>
    <w:rsid w:val="002253A4"/>
    <w:rsid w:val="00225720"/>
    <w:rsid w:val="00226667"/>
    <w:rsid w:val="00227EB9"/>
    <w:rsid w:val="002317F7"/>
    <w:rsid w:val="002323A5"/>
    <w:rsid w:val="00232816"/>
    <w:rsid w:val="00232F1E"/>
    <w:rsid w:val="00235EF2"/>
    <w:rsid w:val="00237852"/>
    <w:rsid w:val="00240C30"/>
    <w:rsid w:val="00240FBD"/>
    <w:rsid w:val="00241723"/>
    <w:rsid w:val="00244529"/>
    <w:rsid w:val="00244782"/>
    <w:rsid w:val="00245DC2"/>
    <w:rsid w:val="00247865"/>
    <w:rsid w:val="002505F3"/>
    <w:rsid w:val="002514EE"/>
    <w:rsid w:val="002517CB"/>
    <w:rsid w:val="00254570"/>
    <w:rsid w:val="00256EE8"/>
    <w:rsid w:val="002577F6"/>
    <w:rsid w:val="00260AE8"/>
    <w:rsid w:val="00263DC3"/>
    <w:rsid w:val="00263F53"/>
    <w:rsid w:val="00270A1B"/>
    <w:rsid w:val="00273744"/>
    <w:rsid w:val="0027489A"/>
    <w:rsid w:val="0027578E"/>
    <w:rsid w:val="00277901"/>
    <w:rsid w:val="0028075D"/>
    <w:rsid w:val="002838D9"/>
    <w:rsid w:val="00283E07"/>
    <w:rsid w:val="002852F0"/>
    <w:rsid w:val="002868AC"/>
    <w:rsid w:val="00287D24"/>
    <w:rsid w:val="00290953"/>
    <w:rsid w:val="00293FCC"/>
    <w:rsid w:val="0029489C"/>
    <w:rsid w:val="00295713"/>
    <w:rsid w:val="00296958"/>
    <w:rsid w:val="00296BC3"/>
    <w:rsid w:val="002A12E4"/>
    <w:rsid w:val="002A2EFA"/>
    <w:rsid w:val="002A4792"/>
    <w:rsid w:val="002A4AF3"/>
    <w:rsid w:val="002A72F0"/>
    <w:rsid w:val="002B0FC8"/>
    <w:rsid w:val="002B2860"/>
    <w:rsid w:val="002B2F1A"/>
    <w:rsid w:val="002B2F7D"/>
    <w:rsid w:val="002B4FEB"/>
    <w:rsid w:val="002C181C"/>
    <w:rsid w:val="002C2DC7"/>
    <w:rsid w:val="002C3027"/>
    <w:rsid w:val="002D1398"/>
    <w:rsid w:val="002D2C06"/>
    <w:rsid w:val="002D2F82"/>
    <w:rsid w:val="002D3CB0"/>
    <w:rsid w:val="002D673F"/>
    <w:rsid w:val="002D77A8"/>
    <w:rsid w:val="002E0629"/>
    <w:rsid w:val="002E3DD9"/>
    <w:rsid w:val="002E4523"/>
    <w:rsid w:val="002F4321"/>
    <w:rsid w:val="002F53F4"/>
    <w:rsid w:val="002F6636"/>
    <w:rsid w:val="003004CB"/>
    <w:rsid w:val="00301DA4"/>
    <w:rsid w:val="003045CA"/>
    <w:rsid w:val="003047CE"/>
    <w:rsid w:val="003052F1"/>
    <w:rsid w:val="00306074"/>
    <w:rsid w:val="00306477"/>
    <w:rsid w:val="00306964"/>
    <w:rsid w:val="00307E3F"/>
    <w:rsid w:val="00313320"/>
    <w:rsid w:val="003144CB"/>
    <w:rsid w:val="00316215"/>
    <w:rsid w:val="00316FCB"/>
    <w:rsid w:val="00317D04"/>
    <w:rsid w:val="00321961"/>
    <w:rsid w:val="003244E2"/>
    <w:rsid w:val="00325CA4"/>
    <w:rsid w:val="003272C9"/>
    <w:rsid w:val="00332395"/>
    <w:rsid w:val="00333255"/>
    <w:rsid w:val="0033580A"/>
    <w:rsid w:val="0033665F"/>
    <w:rsid w:val="00344576"/>
    <w:rsid w:val="00344969"/>
    <w:rsid w:val="0034496D"/>
    <w:rsid w:val="00345B49"/>
    <w:rsid w:val="00346B54"/>
    <w:rsid w:val="00350BC6"/>
    <w:rsid w:val="00350C50"/>
    <w:rsid w:val="00351916"/>
    <w:rsid w:val="00355F14"/>
    <w:rsid w:val="00356D4C"/>
    <w:rsid w:val="0036088A"/>
    <w:rsid w:val="003626ED"/>
    <w:rsid w:val="00362A8C"/>
    <w:rsid w:val="00365C64"/>
    <w:rsid w:val="00370B8D"/>
    <w:rsid w:val="00372BCF"/>
    <w:rsid w:val="003745E9"/>
    <w:rsid w:val="003750F6"/>
    <w:rsid w:val="0037517B"/>
    <w:rsid w:val="0037667D"/>
    <w:rsid w:val="00392828"/>
    <w:rsid w:val="0039786A"/>
    <w:rsid w:val="003A2DF6"/>
    <w:rsid w:val="003A3403"/>
    <w:rsid w:val="003A3AA0"/>
    <w:rsid w:val="003A51FA"/>
    <w:rsid w:val="003B1211"/>
    <w:rsid w:val="003B354B"/>
    <w:rsid w:val="003B4EA0"/>
    <w:rsid w:val="003B7428"/>
    <w:rsid w:val="003B7547"/>
    <w:rsid w:val="003B7D7B"/>
    <w:rsid w:val="003C2DF6"/>
    <w:rsid w:val="003C4490"/>
    <w:rsid w:val="003C5C33"/>
    <w:rsid w:val="003C78F6"/>
    <w:rsid w:val="003C7F5A"/>
    <w:rsid w:val="003D2ADE"/>
    <w:rsid w:val="003D6B72"/>
    <w:rsid w:val="003D73AF"/>
    <w:rsid w:val="003E0702"/>
    <w:rsid w:val="003E1965"/>
    <w:rsid w:val="003E398D"/>
    <w:rsid w:val="003E49B5"/>
    <w:rsid w:val="003E52BF"/>
    <w:rsid w:val="003E7003"/>
    <w:rsid w:val="003F48B4"/>
    <w:rsid w:val="003F4E6B"/>
    <w:rsid w:val="003F5895"/>
    <w:rsid w:val="003F7CCC"/>
    <w:rsid w:val="00404E56"/>
    <w:rsid w:val="0040631E"/>
    <w:rsid w:val="0041034D"/>
    <w:rsid w:val="004104F8"/>
    <w:rsid w:val="00415704"/>
    <w:rsid w:val="0041600E"/>
    <w:rsid w:val="0041625F"/>
    <w:rsid w:val="00420F2E"/>
    <w:rsid w:val="004213AD"/>
    <w:rsid w:val="00421F2A"/>
    <w:rsid w:val="00423C96"/>
    <w:rsid w:val="004247D0"/>
    <w:rsid w:val="00426220"/>
    <w:rsid w:val="004345FE"/>
    <w:rsid w:val="00436F2D"/>
    <w:rsid w:val="004400AA"/>
    <w:rsid w:val="00442685"/>
    <w:rsid w:val="004430BD"/>
    <w:rsid w:val="004446C2"/>
    <w:rsid w:val="00456F59"/>
    <w:rsid w:val="004604FB"/>
    <w:rsid w:val="00461775"/>
    <w:rsid w:val="0046251A"/>
    <w:rsid w:val="00463C1F"/>
    <w:rsid w:val="0046410C"/>
    <w:rsid w:val="00464AA7"/>
    <w:rsid w:val="004662A4"/>
    <w:rsid w:val="0046702F"/>
    <w:rsid w:val="0046714A"/>
    <w:rsid w:val="00467E50"/>
    <w:rsid w:val="00470259"/>
    <w:rsid w:val="00473B4F"/>
    <w:rsid w:val="00475096"/>
    <w:rsid w:val="00483F6A"/>
    <w:rsid w:val="00484868"/>
    <w:rsid w:val="0048513D"/>
    <w:rsid w:val="00486340"/>
    <w:rsid w:val="00486E90"/>
    <w:rsid w:val="004876D3"/>
    <w:rsid w:val="00491633"/>
    <w:rsid w:val="00491E72"/>
    <w:rsid w:val="00492739"/>
    <w:rsid w:val="00492EFE"/>
    <w:rsid w:val="004940AE"/>
    <w:rsid w:val="0049466E"/>
    <w:rsid w:val="004953C0"/>
    <w:rsid w:val="00497B53"/>
    <w:rsid w:val="004A0346"/>
    <w:rsid w:val="004A0776"/>
    <w:rsid w:val="004A1742"/>
    <w:rsid w:val="004A5652"/>
    <w:rsid w:val="004A6E60"/>
    <w:rsid w:val="004A74FE"/>
    <w:rsid w:val="004B0910"/>
    <w:rsid w:val="004B2E80"/>
    <w:rsid w:val="004B307D"/>
    <w:rsid w:val="004B797C"/>
    <w:rsid w:val="004C0641"/>
    <w:rsid w:val="004C0CFF"/>
    <w:rsid w:val="004C14D4"/>
    <w:rsid w:val="004C15BC"/>
    <w:rsid w:val="004C47A2"/>
    <w:rsid w:val="004C6E6C"/>
    <w:rsid w:val="004C7845"/>
    <w:rsid w:val="004D3C6F"/>
    <w:rsid w:val="004D4824"/>
    <w:rsid w:val="004D6494"/>
    <w:rsid w:val="004E07B4"/>
    <w:rsid w:val="004E0BEF"/>
    <w:rsid w:val="004E101A"/>
    <w:rsid w:val="004E2179"/>
    <w:rsid w:val="004E4030"/>
    <w:rsid w:val="004F4BD2"/>
    <w:rsid w:val="004F4C92"/>
    <w:rsid w:val="004F4EEE"/>
    <w:rsid w:val="004F6174"/>
    <w:rsid w:val="0050234D"/>
    <w:rsid w:val="005037B7"/>
    <w:rsid w:val="00503BC8"/>
    <w:rsid w:val="00503E4F"/>
    <w:rsid w:val="005062F8"/>
    <w:rsid w:val="00506C0E"/>
    <w:rsid w:val="0051136B"/>
    <w:rsid w:val="00511A03"/>
    <w:rsid w:val="00513906"/>
    <w:rsid w:val="00514BCC"/>
    <w:rsid w:val="00516520"/>
    <w:rsid w:val="005169D7"/>
    <w:rsid w:val="005261CB"/>
    <w:rsid w:val="0052620A"/>
    <w:rsid w:val="0052645B"/>
    <w:rsid w:val="00527791"/>
    <w:rsid w:val="00532A2D"/>
    <w:rsid w:val="00533F79"/>
    <w:rsid w:val="005353E3"/>
    <w:rsid w:val="00535FAF"/>
    <w:rsid w:val="005375F4"/>
    <w:rsid w:val="005377B6"/>
    <w:rsid w:val="0053782E"/>
    <w:rsid w:val="00541100"/>
    <w:rsid w:val="0054237C"/>
    <w:rsid w:val="00554A96"/>
    <w:rsid w:val="005569FD"/>
    <w:rsid w:val="005576AE"/>
    <w:rsid w:val="00561A2E"/>
    <w:rsid w:val="00563017"/>
    <w:rsid w:val="00564795"/>
    <w:rsid w:val="00565590"/>
    <w:rsid w:val="005704FB"/>
    <w:rsid w:val="00570A93"/>
    <w:rsid w:val="00572F2A"/>
    <w:rsid w:val="00573E43"/>
    <w:rsid w:val="005803D3"/>
    <w:rsid w:val="00582827"/>
    <w:rsid w:val="00583572"/>
    <w:rsid w:val="0058494D"/>
    <w:rsid w:val="00591803"/>
    <w:rsid w:val="005931F9"/>
    <w:rsid w:val="00595741"/>
    <w:rsid w:val="005973BB"/>
    <w:rsid w:val="00597DE2"/>
    <w:rsid w:val="005A1E29"/>
    <w:rsid w:val="005A20A6"/>
    <w:rsid w:val="005A3522"/>
    <w:rsid w:val="005A48E0"/>
    <w:rsid w:val="005A5EA7"/>
    <w:rsid w:val="005A7184"/>
    <w:rsid w:val="005B307D"/>
    <w:rsid w:val="005B6209"/>
    <w:rsid w:val="005C0F44"/>
    <w:rsid w:val="005C2A42"/>
    <w:rsid w:val="005C3813"/>
    <w:rsid w:val="005C5CE5"/>
    <w:rsid w:val="005D1929"/>
    <w:rsid w:val="005D267C"/>
    <w:rsid w:val="005D36F0"/>
    <w:rsid w:val="005D68AA"/>
    <w:rsid w:val="005D69F0"/>
    <w:rsid w:val="005D77E8"/>
    <w:rsid w:val="005E033C"/>
    <w:rsid w:val="005E30E1"/>
    <w:rsid w:val="005E3D94"/>
    <w:rsid w:val="005E5519"/>
    <w:rsid w:val="005F2220"/>
    <w:rsid w:val="006000C7"/>
    <w:rsid w:val="0060160F"/>
    <w:rsid w:val="006032D7"/>
    <w:rsid w:val="00605437"/>
    <w:rsid w:val="006070D6"/>
    <w:rsid w:val="00607EA1"/>
    <w:rsid w:val="00611181"/>
    <w:rsid w:val="00612F18"/>
    <w:rsid w:val="00621186"/>
    <w:rsid w:val="00621F36"/>
    <w:rsid w:val="00623DF6"/>
    <w:rsid w:val="00627110"/>
    <w:rsid w:val="00631158"/>
    <w:rsid w:val="00631D16"/>
    <w:rsid w:val="006342F7"/>
    <w:rsid w:val="00640150"/>
    <w:rsid w:val="00642901"/>
    <w:rsid w:val="00642DCD"/>
    <w:rsid w:val="00644FD3"/>
    <w:rsid w:val="006454C4"/>
    <w:rsid w:val="00646284"/>
    <w:rsid w:val="006465A2"/>
    <w:rsid w:val="00647F51"/>
    <w:rsid w:val="00650D35"/>
    <w:rsid w:val="00655AD4"/>
    <w:rsid w:val="00656368"/>
    <w:rsid w:val="00657072"/>
    <w:rsid w:val="00657176"/>
    <w:rsid w:val="00661178"/>
    <w:rsid w:val="0066118E"/>
    <w:rsid w:val="006625B0"/>
    <w:rsid w:val="006626F8"/>
    <w:rsid w:val="00662B50"/>
    <w:rsid w:val="00663D69"/>
    <w:rsid w:val="00663FB6"/>
    <w:rsid w:val="00664729"/>
    <w:rsid w:val="00664A9B"/>
    <w:rsid w:val="00670082"/>
    <w:rsid w:val="0067027B"/>
    <w:rsid w:val="006705CC"/>
    <w:rsid w:val="00670EA7"/>
    <w:rsid w:val="006730D1"/>
    <w:rsid w:val="00673CCE"/>
    <w:rsid w:val="00674659"/>
    <w:rsid w:val="00675955"/>
    <w:rsid w:val="00676DEE"/>
    <w:rsid w:val="00677FAF"/>
    <w:rsid w:val="00680042"/>
    <w:rsid w:val="0068027D"/>
    <w:rsid w:val="00680C66"/>
    <w:rsid w:val="0069403F"/>
    <w:rsid w:val="00695821"/>
    <w:rsid w:val="006963BF"/>
    <w:rsid w:val="006A0FFD"/>
    <w:rsid w:val="006A20BF"/>
    <w:rsid w:val="006A24E7"/>
    <w:rsid w:val="006A37BE"/>
    <w:rsid w:val="006A3AB7"/>
    <w:rsid w:val="006A5CEF"/>
    <w:rsid w:val="006B0F2A"/>
    <w:rsid w:val="006B2709"/>
    <w:rsid w:val="006B29CF"/>
    <w:rsid w:val="006B3A5F"/>
    <w:rsid w:val="006B3BE0"/>
    <w:rsid w:val="006B74C9"/>
    <w:rsid w:val="006C0F33"/>
    <w:rsid w:val="006C1D10"/>
    <w:rsid w:val="006C2AD7"/>
    <w:rsid w:val="006C3F62"/>
    <w:rsid w:val="006C4EB5"/>
    <w:rsid w:val="006C6F34"/>
    <w:rsid w:val="006C6F8C"/>
    <w:rsid w:val="006D01F6"/>
    <w:rsid w:val="006D060B"/>
    <w:rsid w:val="006D1634"/>
    <w:rsid w:val="006D17FA"/>
    <w:rsid w:val="006D6C8D"/>
    <w:rsid w:val="006E03B6"/>
    <w:rsid w:val="006E12D8"/>
    <w:rsid w:val="006E4108"/>
    <w:rsid w:val="006E6311"/>
    <w:rsid w:val="006E649F"/>
    <w:rsid w:val="006F296F"/>
    <w:rsid w:val="006F3A28"/>
    <w:rsid w:val="006F3B2F"/>
    <w:rsid w:val="006F55F3"/>
    <w:rsid w:val="006F5837"/>
    <w:rsid w:val="006F6873"/>
    <w:rsid w:val="006F7F46"/>
    <w:rsid w:val="00701186"/>
    <w:rsid w:val="00702218"/>
    <w:rsid w:val="007024DB"/>
    <w:rsid w:val="00704634"/>
    <w:rsid w:val="00705F5F"/>
    <w:rsid w:val="00706027"/>
    <w:rsid w:val="00706E70"/>
    <w:rsid w:val="0071039B"/>
    <w:rsid w:val="00711D81"/>
    <w:rsid w:val="00712A6E"/>
    <w:rsid w:val="007170CA"/>
    <w:rsid w:val="0071764A"/>
    <w:rsid w:val="00720D44"/>
    <w:rsid w:val="00722FD0"/>
    <w:rsid w:val="00723278"/>
    <w:rsid w:val="00725EFC"/>
    <w:rsid w:val="007266F8"/>
    <w:rsid w:val="00727048"/>
    <w:rsid w:val="007337A0"/>
    <w:rsid w:val="00735E85"/>
    <w:rsid w:val="0074524D"/>
    <w:rsid w:val="0074528D"/>
    <w:rsid w:val="00745C27"/>
    <w:rsid w:val="00747B62"/>
    <w:rsid w:val="00747F9D"/>
    <w:rsid w:val="007507B8"/>
    <w:rsid w:val="00751554"/>
    <w:rsid w:val="0075661D"/>
    <w:rsid w:val="00757674"/>
    <w:rsid w:val="0076016C"/>
    <w:rsid w:val="00761075"/>
    <w:rsid w:val="0076199B"/>
    <w:rsid w:val="00763999"/>
    <w:rsid w:val="007644B9"/>
    <w:rsid w:val="0076453D"/>
    <w:rsid w:val="00766FDC"/>
    <w:rsid w:val="007674A5"/>
    <w:rsid w:val="007674A6"/>
    <w:rsid w:val="00767D15"/>
    <w:rsid w:val="00767EB5"/>
    <w:rsid w:val="00773754"/>
    <w:rsid w:val="00773CA6"/>
    <w:rsid w:val="00773D73"/>
    <w:rsid w:val="00775CFB"/>
    <w:rsid w:val="00776184"/>
    <w:rsid w:val="00781552"/>
    <w:rsid w:val="007820AE"/>
    <w:rsid w:val="00785FEF"/>
    <w:rsid w:val="007879EE"/>
    <w:rsid w:val="00787E2C"/>
    <w:rsid w:val="00790C0E"/>
    <w:rsid w:val="00791C03"/>
    <w:rsid w:val="00792B4A"/>
    <w:rsid w:val="00794566"/>
    <w:rsid w:val="00794614"/>
    <w:rsid w:val="00795733"/>
    <w:rsid w:val="00796FAA"/>
    <w:rsid w:val="007A235C"/>
    <w:rsid w:val="007A240D"/>
    <w:rsid w:val="007A2F8F"/>
    <w:rsid w:val="007A364C"/>
    <w:rsid w:val="007A7AC2"/>
    <w:rsid w:val="007A7EDB"/>
    <w:rsid w:val="007B0E66"/>
    <w:rsid w:val="007B175F"/>
    <w:rsid w:val="007B57C6"/>
    <w:rsid w:val="007B64D4"/>
    <w:rsid w:val="007B6895"/>
    <w:rsid w:val="007B7DD4"/>
    <w:rsid w:val="007C04C1"/>
    <w:rsid w:val="007C0F11"/>
    <w:rsid w:val="007C3CA9"/>
    <w:rsid w:val="007C5C31"/>
    <w:rsid w:val="007C6AE0"/>
    <w:rsid w:val="007D02D7"/>
    <w:rsid w:val="007D06F5"/>
    <w:rsid w:val="007D0BF8"/>
    <w:rsid w:val="007D26CA"/>
    <w:rsid w:val="007D3DDE"/>
    <w:rsid w:val="007D58CD"/>
    <w:rsid w:val="007D7A1E"/>
    <w:rsid w:val="007E0034"/>
    <w:rsid w:val="007E2A5D"/>
    <w:rsid w:val="007E4D7B"/>
    <w:rsid w:val="007E4ED4"/>
    <w:rsid w:val="007E5DA9"/>
    <w:rsid w:val="007E7900"/>
    <w:rsid w:val="007E79EE"/>
    <w:rsid w:val="007E7CF4"/>
    <w:rsid w:val="007F332C"/>
    <w:rsid w:val="007F59E7"/>
    <w:rsid w:val="007F5D03"/>
    <w:rsid w:val="007F6ACB"/>
    <w:rsid w:val="007F7A61"/>
    <w:rsid w:val="008015DC"/>
    <w:rsid w:val="00802DC9"/>
    <w:rsid w:val="00803C29"/>
    <w:rsid w:val="0080436E"/>
    <w:rsid w:val="00804AE5"/>
    <w:rsid w:val="00805828"/>
    <w:rsid w:val="008106FE"/>
    <w:rsid w:val="00814A34"/>
    <w:rsid w:val="00815360"/>
    <w:rsid w:val="00821326"/>
    <w:rsid w:val="00822501"/>
    <w:rsid w:val="008241B6"/>
    <w:rsid w:val="0082524C"/>
    <w:rsid w:val="0082741A"/>
    <w:rsid w:val="008279B3"/>
    <w:rsid w:val="00827DAE"/>
    <w:rsid w:val="00827FD5"/>
    <w:rsid w:val="00832BCD"/>
    <w:rsid w:val="00834752"/>
    <w:rsid w:val="00844866"/>
    <w:rsid w:val="00847DD5"/>
    <w:rsid w:val="00850685"/>
    <w:rsid w:val="0085173D"/>
    <w:rsid w:val="008519D5"/>
    <w:rsid w:val="00851F78"/>
    <w:rsid w:val="008536D4"/>
    <w:rsid w:val="00860093"/>
    <w:rsid w:val="00860A6D"/>
    <w:rsid w:val="00860A86"/>
    <w:rsid w:val="008610C1"/>
    <w:rsid w:val="0086398C"/>
    <w:rsid w:val="00867BE7"/>
    <w:rsid w:val="0087014B"/>
    <w:rsid w:val="00870D4F"/>
    <w:rsid w:val="00870F3E"/>
    <w:rsid w:val="00875F18"/>
    <w:rsid w:val="0088310C"/>
    <w:rsid w:val="00883F56"/>
    <w:rsid w:val="00884A66"/>
    <w:rsid w:val="008858CD"/>
    <w:rsid w:val="00885B26"/>
    <w:rsid w:val="00886098"/>
    <w:rsid w:val="0088615F"/>
    <w:rsid w:val="00886596"/>
    <w:rsid w:val="0089013D"/>
    <w:rsid w:val="0089450C"/>
    <w:rsid w:val="00896FF0"/>
    <w:rsid w:val="008A38AC"/>
    <w:rsid w:val="008A3AFC"/>
    <w:rsid w:val="008A4124"/>
    <w:rsid w:val="008A4CB3"/>
    <w:rsid w:val="008A5709"/>
    <w:rsid w:val="008A5BF8"/>
    <w:rsid w:val="008A70B6"/>
    <w:rsid w:val="008B060B"/>
    <w:rsid w:val="008B2AD0"/>
    <w:rsid w:val="008B5CAF"/>
    <w:rsid w:val="008B60D2"/>
    <w:rsid w:val="008C0EE8"/>
    <w:rsid w:val="008C1447"/>
    <w:rsid w:val="008C41C8"/>
    <w:rsid w:val="008C454C"/>
    <w:rsid w:val="008C4672"/>
    <w:rsid w:val="008C46DE"/>
    <w:rsid w:val="008C72B2"/>
    <w:rsid w:val="008C7386"/>
    <w:rsid w:val="008D1FF7"/>
    <w:rsid w:val="008D2F4A"/>
    <w:rsid w:val="008E0275"/>
    <w:rsid w:val="008E2918"/>
    <w:rsid w:val="008E3B41"/>
    <w:rsid w:val="008E51EB"/>
    <w:rsid w:val="008E6034"/>
    <w:rsid w:val="008F25B6"/>
    <w:rsid w:val="008F3FC3"/>
    <w:rsid w:val="00903C01"/>
    <w:rsid w:val="00904773"/>
    <w:rsid w:val="0090728A"/>
    <w:rsid w:val="00910DFE"/>
    <w:rsid w:val="0091180E"/>
    <w:rsid w:val="00913535"/>
    <w:rsid w:val="00916241"/>
    <w:rsid w:val="0091736E"/>
    <w:rsid w:val="0092126E"/>
    <w:rsid w:val="00924747"/>
    <w:rsid w:val="0092508F"/>
    <w:rsid w:val="00926FAA"/>
    <w:rsid w:val="00927736"/>
    <w:rsid w:val="009301F8"/>
    <w:rsid w:val="00931E44"/>
    <w:rsid w:val="00933AA1"/>
    <w:rsid w:val="0093452D"/>
    <w:rsid w:val="00934B66"/>
    <w:rsid w:val="00934D4D"/>
    <w:rsid w:val="00936C84"/>
    <w:rsid w:val="00937528"/>
    <w:rsid w:val="00937BB3"/>
    <w:rsid w:val="00940152"/>
    <w:rsid w:val="00942D33"/>
    <w:rsid w:val="00943562"/>
    <w:rsid w:val="00943636"/>
    <w:rsid w:val="009439B2"/>
    <w:rsid w:val="0094437D"/>
    <w:rsid w:val="00945A9C"/>
    <w:rsid w:val="009477DB"/>
    <w:rsid w:val="00947B0E"/>
    <w:rsid w:val="009500A2"/>
    <w:rsid w:val="009500E6"/>
    <w:rsid w:val="009521B0"/>
    <w:rsid w:val="00954027"/>
    <w:rsid w:val="009563CD"/>
    <w:rsid w:val="00956657"/>
    <w:rsid w:val="00956C2E"/>
    <w:rsid w:val="009609F4"/>
    <w:rsid w:val="00960F86"/>
    <w:rsid w:val="00963171"/>
    <w:rsid w:val="00963C87"/>
    <w:rsid w:val="00973432"/>
    <w:rsid w:val="00973B23"/>
    <w:rsid w:val="00974D72"/>
    <w:rsid w:val="00977ECA"/>
    <w:rsid w:val="00980744"/>
    <w:rsid w:val="00984E44"/>
    <w:rsid w:val="00987BEF"/>
    <w:rsid w:val="00987C47"/>
    <w:rsid w:val="00991929"/>
    <w:rsid w:val="00995194"/>
    <w:rsid w:val="00996D08"/>
    <w:rsid w:val="009A2729"/>
    <w:rsid w:val="009A3862"/>
    <w:rsid w:val="009A490C"/>
    <w:rsid w:val="009A5C5A"/>
    <w:rsid w:val="009A67BD"/>
    <w:rsid w:val="009A6E84"/>
    <w:rsid w:val="009B1FF1"/>
    <w:rsid w:val="009B675B"/>
    <w:rsid w:val="009B6802"/>
    <w:rsid w:val="009B6E7D"/>
    <w:rsid w:val="009B7078"/>
    <w:rsid w:val="009B73C8"/>
    <w:rsid w:val="009C0CE9"/>
    <w:rsid w:val="009C40B5"/>
    <w:rsid w:val="009C4B11"/>
    <w:rsid w:val="009C4FA6"/>
    <w:rsid w:val="009C54BD"/>
    <w:rsid w:val="009C5E29"/>
    <w:rsid w:val="009C753C"/>
    <w:rsid w:val="009D3EF9"/>
    <w:rsid w:val="009D478D"/>
    <w:rsid w:val="009E11C9"/>
    <w:rsid w:val="009E31F9"/>
    <w:rsid w:val="009E4DB7"/>
    <w:rsid w:val="009E5710"/>
    <w:rsid w:val="009E5B79"/>
    <w:rsid w:val="009F0B4D"/>
    <w:rsid w:val="009F0D23"/>
    <w:rsid w:val="009F3E53"/>
    <w:rsid w:val="009F444C"/>
    <w:rsid w:val="009F7B1B"/>
    <w:rsid w:val="00A01DAF"/>
    <w:rsid w:val="00A02087"/>
    <w:rsid w:val="00A055CB"/>
    <w:rsid w:val="00A061E8"/>
    <w:rsid w:val="00A071E2"/>
    <w:rsid w:val="00A101E4"/>
    <w:rsid w:val="00A10B3D"/>
    <w:rsid w:val="00A122E9"/>
    <w:rsid w:val="00A1483C"/>
    <w:rsid w:val="00A243C2"/>
    <w:rsid w:val="00A25BDD"/>
    <w:rsid w:val="00A26609"/>
    <w:rsid w:val="00A27BB3"/>
    <w:rsid w:val="00A31CDA"/>
    <w:rsid w:val="00A32203"/>
    <w:rsid w:val="00A3381B"/>
    <w:rsid w:val="00A33D06"/>
    <w:rsid w:val="00A348C0"/>
    <w:rsid w:val="00A363F4"/>
    <w:rsid w:val="00A42363"/>
    <w:rsid w:val="00A45293"/>
    <w:rsid w:val="00A460F6"/>
    <w:rsid w:val="00A50AB6"/>
    <w:rsid w:val="00A52889"/>
    <w:rsid w:val="00A52F7F"/>
    <w:rsid w:val="00A53AE7"/>
    <w:rsid w:val="00A53CE8"/>
    <w:rsid w:val="00A5515B"/>
    <w:rsid w:val="00A554AD"/>
    <w:rsid w:val="00A56F40"/>
    <w:rsid w:val="00A57597"/>
    <w:rsid w:val="00A606B1"/>
    <w:rsid w:val="00A618FA"/>
    <w:rsid w:val="00A6473F"/>
    <w:rsid w:val="00A65DDC"/>
    <w:rsid w:val="00A673A8"/>
    <w:rsid w:val="00A6760D"/>
    <w:rsid w:val="00A7052A"/>
    <w:rsid w:val="00A70D26"/>
    <w:rsid w:val="00A7297B"/>
    <w:rsid w:val="00A729FD"/>
    <w:rsid w:val="00A81C09"/>
    <w:rsid w:val="00A825D0"/>
    <w:rsid w:val="00A82A30"/>
    <w:rsid w:val="00A831A9"/>
    <w:rsid w:val="00A83CB6"/>
    <w:rsid w:val="00A84C4B"/>
    <w:rsid w:val="00A87002"/>
    <w:rsid w:val="00A930B1"/>
    <w:rsid w:val="00AA2DA8"/>
    <w:rsid w:val="00AA5838"/>
    <w:rsid w:val="00AA59BB"/>
    <w:rsid w:val="00AA6062"/>
    <w:rsid w:val="00AA6B2D"/>
    <w:rsid w:val="00AB0A6A"/>
    <w:rsid w:val="00AB0E22"/>
    <w:rsid w:val="00AB178F"/>
    <w:rsid w:val="00AB5918"/>
    <w:rsid w:val="00AB7B0C"/>
    <w:rsid w:val="00AD04AC"/>
    <w:rsid w:val="00AD17D4"/>
    <w:rsid w:val="00AD4B36"/>
    <w:rsid w:val="00AD5140"/>
    <w:rsid w:val="00AE00B6"/>
    <w:rsid w:val="00AE14CE"/>
    <w:rsid w:val="00AE54C5"/>
    <w:rsid w:val="00AE7E2E"/>
    <w:rsid w:val="00AE7F12"/>
    <w:rsid w:val="00AF062D"/>
    <w:rsid w:val="00AF4954"/>
    <w:rsid w:val="00AF7684"/>
    <w:rsid w:val="00B0054F"/>
    <w:rsid w:val="00B11AB8"/>
    <w:rsid w:val="00B13258"/>
    <w:rsid w:val="00B13AFA"/>
    <w:rsid w:val="00B15C4E"/>
    <w:rsid w:val="00B17512"/>
    <w:rsid w:val="00B20ADA"/>
    <w:rsid w:val="00B23699"/>
    <w:rsid w:val="00B238FC"/>
    <w:rsid w:val="00B24D50"/>
    <w:rsid w:val="00B251FD"/>
    <w:rsid w:val="00B2679F"/>
    <w:rsid w:val="00B331E6"/>
    <w:rsid w:val="00B337AF"/>
    <w:rsid w:val="00B35390"/>
    <w:rsid w:val="00B3639A"/>
    <w:rsid w:val="00B3653F"/>
    <w:rsid w:val="00B42FFB"/>
    <w:rsid w:val="00B438A8"/>
    <w:rsid w:val="00B55E95"/>
    <w:rsid w:val="00B60323"/>
    <w:rsid w:val="00B60575"/>
    <w:rsid w:val="00B61A48"/>
    <w:rsid w:val="00B61E6F"/>
    <w:rsid w:val="00B6639E"/>
    <w:rsid w:val="00B67A38"/>
    <w:rsid w:val="00B71F5D"/>
    <w:rsid w:val="00B72BBD"/>
    <w:rsid w:val="00B76713"/>
    <w:rsid w:val="00B81487"/>
    <w:rsid w:val="00B84292"/>
    <w:rsid w:val="00B849B2"/>
    <w:rsid w:val="00B8554E"/>
    <w:rsid w:val="00B85F1C"/>
    <w:rsid w:val="00B861CC"/>
    <w:rsid w:val="00B9094E"/>
    <w:rsid w:val="00B92FB1"/>
    <w:rsid w:val="00B94391"/>
    <w:rsid w:val="00B95D57"/>
    <w:rsid w:val="00B967B7"/>
    <w:rsid w:val="00BA026E"/>
    <w:rsid w:val="00BA2A6E"/>
    <w:rsid w:val="00BA2D11"/>
    <w:rsid w:val="00BA380F"/>
    <w:rsid w:val="00BA4A10"/>
    <w:rsid w:val="00BA518B"/>
    <w:rsid w:val="00BA521C"/>
    <w:rsid w:val="00BA550E"/>
    <w:rsid w:val="00BB14EA"/>
    <w:rsid w:val="00BB1630"/>
    <w:rsid w:val="00BB1B39"/>
    <w:rsid w:val="00BB1C6B"/>
    <w:rsid w:val="00BB78C9"/>
    <w:rsid w:val="00BC0BFE"/>
    <w:rsid w:val="00BC0F8E"/>
    <w:rsid w:val="00BC27DE"/>
    <w:rsid w:val="00BC3B17"/>
    <w:rsid w:val="00BC421B"/>
    <w:rsid w:val="00BC4C46"/>
    <w:rsid w:val="00BD2CF7"/>
    <w:rsid w:val="00BD3399"/>
    <w:rsid w:val="00BD3F20"/>
    <w:rsid w:val="00BD4FC5"/>
    <w:rsid w:val="00BD554A"/>
    <w:rsid w:val="00BD69DE"/>
    <w:rsid w:val="00BE094B"/>
    <w:rsid w:val="00BE33D2"/>
    <w:rsid w:val="00BF15C5"/>
    <w:rsid w:val="00BF185E"/>
    <w:rsid w:val="00BF2FAD"/>
    <w:rsid w:val="00BF66B5"/>
    <w:rsid w:val="00BF6A2B"/>
    <w:rsid w:val="00C00B5A"/>
    <w:rsid w:val="00C03196"/>
    <w:rsid w:val="00C03AD9"/>
    <w:rsid w:val="00C04919"/>
    <w:rsid w:val="00C05659"/>
    <w:rsid w:val="00C05702"/>
    <w:rsid w:val="00C057B7"/>
    <w:rsid w:val="00C1023C"/>
    <w:rsid w:val="00C167BD"/>
    <w:rsid w:val="00C2042C"/>
    <w:rsid w:val="00C20518"/>
    <w:rsid w:val="00C22394"/>
    <w:rsid w:val="00C22D93"/>
    <w:rsid w:val="00C253F2"/>
    <w:rsid w:val="00C26DFB"/>
    <w:rsid w:val="00C27606"/>
    <w:rsid w:val="00C27A3C"/>
    <w:rsid w:val="00C3020A"/>
    <w:rsid w:val="00C30921"/>
    <w:rsid w:val="00C31259"/>
    <w:rsid w:val="00C31867"/>
    <w:rsid w:val="00C34BB3"/>
    <w:rsid w:val="00C377CC"/>
    <w:rsid w:val="00C422F0"/>
    <w:rsid w:val="00C42CDA"/>
    <w:rsid w:val="00C43515"/>
    <w:rsid w:val="00C439BD"/>
    <w:rsid w:val="00C445A7"/>
    <w:rsid w:val="00C466A9"/>
    <w:rsid w:val="00C4684F"/>
    <w:rsid w:val="00C47BDD"/>
    <w:rsid w:val="00C526F6"/>
    <w:rsid w:val="00C55597"/>
    <w:rsid w:val="00C6059C"/>
    <w:rsid w:val="00C60AD6"/>
    <w:rsid w:val="00C62408"/>
    <w:rsid w:val="00C62B21"/>
    <w:rsid w:val="00C63A59"/>
    <w:rsid w:val="00C64161"/>
    <w:rsid w:val="00C65206"/>
    <w:rsid w:val="00C6642B"/>
    <w:rsid w:val="00C70F87"/>
    <w:rsid w:val="00C72229"/>
    <w:rsid w:val="00C74CFB"/>
    <w:rsid w:val="00C77366"/>
    <w:rsid w:val="00C80B9F"/>
    <w:rsid w:val="00C80FA9"/>
    <w:rsid w:val="00C8194C"/>
    <w:rsid w:val="00C82CC1"/>
    <w:rsid w:val="00C83B8B"/>
    <w:rsid w:val="00C850A8"/>
    <w:rsid w:val="00C8594E"/>
    <w:rsid w:val="00C86AF6"/>
    <w:rsid w:val="00C8734B"/>
    <w:rsid w:val="00C92213"/>
    <w:rsid w:val="00C92CD3"/>
    <w:rsid w:val="00C93283"/>
    <w:rsid w:val="00C947D1"/>
    <w:rsid w:val="00CA044B"/>
    <w:rsid w:val="00CA2A8F"/>
    <w:rsid w:val="00CA5E85"/>
    <w:rsid w:val="00CA7456"/>
    <w:rsid w:val="00CA7E34"/>
    <w:rsid w:val="00CA7F88"/>
    <w:rsid w:val="00CB0E01"/>
    <w:rsid w:val="00CB135A"/>
    <w:rsid w:val="00CB4F1B"/>
    <w:rsid w:val="00CB627C"/>
    <w:rsid w:val="00CB69D0"/>
    <w:rsid w:val="00CC3536"/>
    <w:rsid w:val="00CC3BB8"/>
    <w:rsid w:val="00CC5C79"/>
    <w:rsid w:val="00CD3DAF"/>
    <w:rsid w:val="00CD4802"/>
    <w:rsid w:val="00CD7BA1"/>
    <w:rsid w:val="00CE101E"/>
    <w:rsid w:val="00CE1E9E"/>
    <w:rsid w:val="00CE274D"/>
    <w:rsid w:val="00CE39D3"/>
    <w:rsid w:val="00CE460A"/>
    <w:rsid w:val="00CE473C"/>
    <w:rsid w:val="00CE47C9"/>
    <w:rsid w:val="00CE4D54"/>
    <w:rsid w:val="00CE5EA8"/>
    <w:rsid w:val="00CE7102"/>
    <w:rsid w:val="00CF0919"/>
    <w:rsid w:val="00CF0F20"/>
    <w:rsid w:val="00CF31A3"/>
    <w:rsid w:val="00CF446F"/>
    <w:rsid w:val="00CF44FB"/>
    <w:rsid w:val="00CF499C"/>
    <w:rsid w:val="00CF6945"/>
    <w:rsid w:val="00CF6DEB"/>
    <w:rsid w:val="00D01BA1"/>
    <w:rsid w:val="00D10D64"/>
    <w:rsid w:val="00D124DE"/>
    <w:rsid w:val="00D16A82"/>
    <w:rsid w:val="00D1736C"/>
    <w:rsid w:val="00D20EF9"/>
    <w:rsid w:val="00D23004"/>
    <w:rsid w:val="00D27552"/>
    <w:rsid w:val="00D278F1"/>
    <w:rsid w:val="00D3397B"/>
    <w:rsid w:val="00D339E0"/>
    <w:rsid w:val="00D34E00"/>
    <w:rsid w:val="00D41E40"/>
    <w:rsid w:val="00D43123"/>
    <w:rsid w:val="00D44064"/>
    <w:rsid w:val="00D46426"/>
    <w:rsid w:val="00D46473"/>
    <w:rsid w:val="00D466BA"/>
    <w:rsid w:val="00D473AD"/>
    <w:rsid w:val="00D50460"/>
    <w:rsid w:val="00D52192"/>
    <w:rsid w:val="00D52232"/>
    <w:rsid w:val="00D53B9D"/>
    <w:rsid w:val="00D56335"/>
    <w:rsid w:val="00D564EB"/>
    <w:rsid w:val="00D56C87"/>
    <w:rsid w:val="00D61087"/>
    <w:rsid w:val="00D64605"/>
    <w:rsid w:val="00D647CD"/>
    <w:rsid w:val="00D64D62"/>
    <w:rsid w:val="00D661FE"/>
    <w:rsid w:val="00D668A6"/>
    <w:rsid w:val="00D67826"/>
    <w:rsid w:val="00D67EBF"/>
    <w:rsid w:val="00D72B0A"/>
    <w:rsid w:val="00D75FB7"/>
    <w:rsid w:val="00D80132"/>
    <w:rsid w:val="00D8184B"/>
    <w:rsid w:val="00D827FE"/>
    <w:rsid w:val="00D83109"/>
    <w:rsid w:val="00D86D61"/>
    <w:rsid w:val="00D917AF"/>
    <w:rsid w:val="00D9236C"/>
    <w:rsid w:val="00D92985"/>
    <w:rsid w:val="00D9334D"/>
    <w:rsid w:val="00D9400A"/>
    <w:rsid w:val="00D94B64"/>
    <w:rsid w:val="00D966EC"/>
    <w:rsid w:val="00D969EE"/>
    <w:rsid w:val="00DA08CD"/>
    <w:rsid w:val="00DA184A"/>
    <w:rsid w:val="00DA30C8"/>
    <w:rsid w:val="00DA3324"/>
    <w:rsid w:val="00DA4D9C"/>
    <w:rsid w:val="00DA5FAB"/>
    <w:rsid w:val="00DB01FC"/>
    <w:rsid w:val="00DB05E0"/>
    <w:rsid w:val="00DB0827"/>
    <w:rsid w:val="00DB233F"/>
    <w:rsid w:val="00DB2653"/>
    <w:rsid w:val="00DC0710"/>
    <w:rsid w:val="00DC0C97"/>
    <w:rsid w:val="00DC0F0A"/>
    <w:rsid w:val="00DC144E"/>
    <w:rsid w:val="00DC21E9"/>
    <w:rsid w:val="00DC514D"/>
    <w:rsid w:val="00DC6FC7"/>
    <w:rsid w:val="00DC70BA"/>
    <w:rsid w:val="00DD2A64"/>
    <w:rsid w:val="00DD2B44"/>
    <w:rsid w:val="00DD59A5"/>
    <w:rsid w:val="00DD59D1"/>
    <w:rsid w:val="00DD6B0E"/>
    <w:rsid w:val="00DE05DF"/>
    <w:rsid w:val="00DE0D4C"/>
    <w:rsid w:val="00DF07D3"/>
    <w:rsid w:val="00DF2D33"/>
    <w:rsid w:val="00DF4C9B"/>
    <w:rsid w:val="00DF71B9"/>
    <w:rsid w:val="00DF75EC"/>
    <w:rsid w:val="00DF7C34"/>
    <w:rsid w:val="00DF7D2A"/>
    <w:rsid w:val="00E00A8A"/>
    <w:rsid w:val="00E026DF"/>
    <w:rsid w:val="00E0350A"/>
    <w:rsid w:val="00E060DD"/>
    <w:rsid w:val="00E06390"/>
    <w:rsid w:val="00E11D36"/>
    <w:rsid w:val="00E14613"/>
    <w:rsid w:val="00E151BD"/>
    <w:rsid w:val="00E1655F"/>
    <w:rsid w:val="00E167A9"/>
    <w:rsid w:val="00E20006"/>
    <w:rsid w:val="00E22265"/>
    <w:rsid w:val="00E22A7E"/>
    <w:rsid w:val="00E24D6D"/>
    <w:rsid w:val="00E26EC0"/>
    <w:rsid w:val="00E30E0F"/>
    <w:rsid w:val="00E31389"/>
    <w:rsid w:val="00E31870"/>
    <w:rsid w:val="00E348C9"/>
    <w:rsid w:val="00E44079"/>
    <w:rsid w:val="00E45976"/>
    <w:rsid w:val="00E45A6D"/>
    <w:rsid w:val="00E50D27"/>
    <w:rsid w:val="00E5160F"/>
    <w:rsid w:val="00E519B3"/>
    <w:rsid w:val="00E51B05"/>
    <w:rsid w:val="00E5381F"/>
    <w:rsid w:val="00E54152"/>
    <w:rsid w:val="00E5796F"/>
    <w:rsid w:val="00E6186A"/>
    <w:rsid w:val="00E620B9"/>
    <w:rsid w:val="00E6246C"/>
    <w:rsid w:val="00E63825"/>
    <w:rsid w:val="00E65518"/>
    <w:rsid w:val="00E66D53"/>
    <w:rsid w:val="00E70E08"/>
    <w:rsid w:val="00E71D53"/>
    <w:rsid w:val="00E75075"/>
    <w:rsid w:val="00E75497"/>
    <w:rsid w:val="00E76F8B"/>
    <w:rsid w:val="00E77049"/>
    <w:rsid w:val="00E77427"/>
    <w:rsid w:val="00E823F5"/>
    <w:rsid w:val="00E84063"/>
    <w:rsid w:val="00E843E2"/>
    <w:rsid w:val="00E8449C"/>
    <w:rsid w:val="00E844E2"/>
    <w:rsid w:val="00E860F5"/>
    <w:rsid w:val="00E860F7"/>
    <w:rsid w:val="00E9189D"/>
    <w:rsid w:val="00E922AE"/>
    <w:rsid w:val="00E95575"/>
    <w:rsid w:val="00EA050D"/>
    <w:rsid w:val="00EA0966"/>
    <w:rsid w:val="00EA1F11"/>
    <w:rsid w:val="00EA473B"/>
    <w:rsid w:val="00EA47B0"/>
    <w:rsid w:val="00EA49B9"/>
    <w:rsid w:val="00EA546D"/>
    <w:rsid w:val="00EA5868"/>
    <w:rsid w:val="00EA611C"/>
    <w:rsid w:val="00EA65DD"/>
    <w:rsid w:val="00EA688E"/>
    <w:rsid w:val="00EA71C0"/>
    <w:rsid w:val="00EA7362"/>
    <w:rsid w:val="00EA7C55"/>
    <w:rsid w:val="00EB46D2"/>
    <w:rsid w:val="00EB5386"/>
    <w:rsid w:val="00EB6D5B"/>
    <w:rsid w:val="00EC16C9"/>
    <w:rsid w:val="00EC2DE1"/>
    <w:rsid w:val="00EC40C9"/>
    <w:rsid w:val="00EC4EE9"/>
    <w:rsid w:val="00EC4F2C"/>
    <w:rsid w:val="00EC595C"/>
    <w:rsid w:val="00EC75FE"/>
    <w:rsid w:val="00ED192B"/>
    <w:rsid w:val="00ED33C4"/>
    <w:rsid w:val="00ED3BE2"/>
    <w:rsid w:val="00ED455E"/>
    <w:rsid w:val="00ED4A6C"/>
    <w:rsid w:val="00ED54FC"/>
    <w:rsid w:val="00EE258E"/>
    <w:rsid w:val="00EE36D9"/>
    <w:rsid w:val="00EE3826"/>
    <w:rsid w:val="00EE4E69"/>
    <w:rsid w:val="00EE61B9"/>
    <w:rsid w:val="00EF2FF4"/>
    <w:rsid w:val="00EF4C37"/>
    <w:rsid w:val="00EF4E64"/>
    <w:rsid w:val="00EF641B"/>
    <w:rsid w:val="00F015CC"/>
    <w:rsid w:val="00F022F8"/>
    <w:rsid w:val="00F038F2"/>
    <w:rsid w:val="00F03B6C"/>
    <w:rsid w:val="00F048AB"/>
    <w:rsid w:val="00F051D6"/>
    <w:rsid w:val="00F0596B"/>
    <w:rsid w:val="00F10B03"/>
    <w:rsid w:val="00F10F58"/>
    <w:rsid w:val="00F13202"/>
    <w:rsid w:val="00F13A6D"/>
    <w:rsid w:val="00F13D08"/>
    <w:rsid w:val="00F158D9"/>
    <w:rsid w:val="00F16145"/>
    <w:rsid w:val="00F162F2"/>
    <w:rsid w:val="00F20C0B"/>
    <w:rsid w:val="00F2444E"/>
    <w:rsid w:val="00F2632C"/>
    <w:rsid w:val="00F300C9"/>
    <w:rsid w:val="00F304FD"/>
    <w:rsid w:val="00F32092"/>
    <w:rsid w:val="00F34646"/>
    <w:rsid w:val="00F35F16"/>
    <w:rsid w:val="00F41038"/>
    <w:rsid w:val="00F423A3"/>
    <w:rsid w:val="00F476F4"/>
    <w:rsid w:val="00F53A30"/>
    <w:rsid w:val="00F560D7"/>
    <w:rsid w:val="00F56A62"/>
    <w:rsid w:val="00F60595"/>
    <w:rsid w:val="00F61501"/>
    <w:rsid w:val="00F64BF9"/>
    <w:rsid w:val="00F66A5D"/>
    <w:rsid w:val="00F67F6A"/>
    <w:rsid w:val="00F7022C"/>
    <w:rsid w:val="00F70B2A"/>
    <w:rsid w:val="00F71BF5"/>
    <w:rsid w:val="00F76F25"/>
    <w:rsid w:val="00F7715A"/>
    <w:rsid w:val="00F77610"/>
    <w:rsid w:val="00F82FC8"/>
    <w:rsid w:val="00F84395"/>
    <w:rsid w:val="00F85EBB"/>
    <w:rsid w:val="00F90EB6"/>
    <w:rsid w:val="00F9105A"/>
    <w:rsid w:val="00F9133A"/>
    <w:rsid w:val="00F949E5"/>
    <w:rsid w:val="00F97A9B"/>
    <w:rsid w:val="00FA15E4"/>
    <w:rsid w:val="00FA279A"/>
    <w:rsid w:val="00FA59A2"/>
    <w:rsid w:val="00FA64D7"/>
    <w:rsid w:val="00FA6C9B"/>
    <w:rsid w:val="00FA7C96"/>
    <w:rsid w:val="00FB06A4"/>
    <w:rsid w:val="00FB09C3"/>
    <w:rsid w:val="00FB3975"/>
    <w:rsid w:val="00FB5422"/>
    <w:rsid w:val="00FB5931"/>
    <w:rsid w:val="00FC0142"/>
    <w:rsid w:val="00FC0EA7"/>
    <w:rsid w:val="00FC12AB"/>
    <w:rsid w:val="00FC1B65"/>
    <w:rsid w:val="00FC2F09"/>
    <w:rsid w:val="00FC2F27"/>
    <w:rsid w:val="00FC3590"/>
    <w:rsid w:val="00FC3A7B"/>
    <w:rsid w:val="00FC3E67"/>
    <w:rsid w:val="00FC5019"/>
    <w:rsid w:val="00FC5167"/>
    <w:rsid w:val="00FC5C72"/>
    <w:rsid w:val="00FD27F9"/>
    <w:rsid w:val="00FD40C3"/>
    <w:rsid w:val="00FD54C6"/>
    <w:rsid w:val="00FD633B"/>
    <w:rsid w:val="00FD72DB"/>
    <w:rsid w:val="00FE3889"/>
    <w:rsid w:val="00FE3E0D"/>
    <w:rsid w:val="00FE4071"/>
    <w:rsid w:val="00FF005E"/>
    <w:rsid w:val="00FF2E42"/>
    <w:rsid w:val="00FF3B5E"/>
    <w:rsid w:val="00FF426B"/>
    <w:rsid w:val="00FF5BE2"/>
    <w:rsid w:val="00FF7732"/>
    <w:rsid w:val="00FF7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251F"/>
  <w15:docId w15:val="{D49A26FB-2E63-4B13-9522-2B91ABDBE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58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667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958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582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95821"/>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nhideWhenUsed/>
    <w:qFormat/>
    <w:rsid w:val="00695821"/>
    <w:pPr>
      <w:spacing w:line="240" w:lineRule="auto"/>
    </w:pPr>
    <w:rPr>
      <w:b/>
      <w:bCs/>
      <w:color w:val="4F81BD" w:themeColor="accent1"/>
      <w:sz w:val="18"/>
      <w:szCs w:val="18"/>
    </w:rPr>
  </w:style>
  <w:style w:type="paragraph" w:styleId="BodyText">
    <w:name w:val="Body Text"/>
    <w:basedOn w:val="Normal"/>
    <w:link w:val="BodyTextChar"/>
    <w:rsid w:val="00695821"/>
    <w:pPr>
      <w:spacing w:after="120" w:line="240" w:lineRule="auto"/>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695821"/>
    <w:rPr>
      <w:rFonts w:ascii="Times New Roman" w:eastAsia="Times New Roman" w:hAnsi="Times New Roman" w:cs="Times New Roman"/>
      <w:sz w:val="24"/>
      <w:szCs w:val="20"/>
      <w:lang w:val="hr-HR"/>
    </w:rPr>
  </w:style>
  <w:style w:type="character" w:styleId="Emphasis">
    <w:name w:val="Emphasis"/>
    <w:qFormat/>
    <w:rsid w:val="00695821"/>
    <w:rPr>
      <w:i/>
      <w:iCs/>
    </w:rPr>
  </w:style>
  <w:style w:type="paragraph" w:styleId="BalloonText">
    <w:name w:val="Balloon Text"/>
    <w:basedOn w:val="Normal"/>
    <w:link w:val="BalloonTextChar"/>
    <w:uiPriority w:val="99"/>
    <w:semiHidden/>
    <w:unhideWhenUsed/>
    <w:rsid w:val="006958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821"/>
    <w:rPr>
      <w:rFonts w:ascii="Tahoma" w:hAnsi="Tahoma" w:cs="Tahoma"/>
      <w:sz w:val="16"/>
      <w:szCs w:val="16"/>
    </w:rPr>
  </w:style>
  <w:style w:type="character" w:customStyle="1" w:styleId="Heading2Char">
    <w:name w:val="Heading 2 Char"/>
    <w:basedOn w:val="DefaultParagraphFont"/>
    <w:link w:val="Heading2"/>
    <w:uiPriority w:val="9"/>
    <w:rsid w:val="0037667D"/>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C93283"/>
    <w:pPr>
      <w:outlineLvl w:val="9"/>
    </w:pPr>
    <w:rPr>
      <w:lang w:val="en-US" w:eastAsia="ja-JP"/>
    </w:rPr>
  </w:style>
  <w:style w:type="paragraph" w:styleId="TOC1">
    <w:name w:val="toc 1"/>
    <w:basedOn w:val="Normal"/>
    <w:next w:val="Normal"/>
    <w:autoRedefine/>
    <w:uiPriority w:val="39"/>
    <w:unhideWhenUsed/>
    <w:rsid w:val="00F61501"/>
    <w:pPr>
      <w:tabs>
        <w:tab w:val="left" w:pos="440"/>
        <w:tab w:val="right" w:leader="dot" w:pos="9062"/>
      </w:tabs>
      <w:spacing w:after="100"/>
      <w:jc w:val="both"/>
    </w:pPr>
  </w:style>
  <w:style w:type="paragraph" w:styleId="TOC2">
    <w:name w:val="toc 2"/>
    <w:basedOn w:val="Normal"/>
    <w:next w:val="Normal"/>
    <w:autoRedefine/>
    <w:uiPriority w:val="39"/>
    <w:unhideWhenUsed/>
    <w:rsid w:val="00C93283"/>
    <w:pPr>
      <w:spacing w:after="100"/>
      <w:ind w:left="220"/>
    </w:pPr>
  </w:style>
  <w:style w:type="character" w:styleId="Hyperlink">
    <w:name w:val="Hyperlink"/>
    <w:basedOn w:val="DefaultParagraphFont"/>
    <w:uiPriority w:val="99"/>
    <w:unhideWhenUsed/>
    <w:rsid w:val="00C93283"/>
    <w:rPr>
      <w:color w:val="0000FF" w:themeColor="hyperlink"/>
      <w:u w:val="single"/>
    </w:rPr>
  </w:style>
  <w:style w:type="paragraph" w:styleId="Header">
    <w:name w:val="header"/>
    <w:basedOn w:val="Normal"/>
    <w:link w:val="HeaderChar"/>
    <w:uiPriority w:val="99"/>
    <w:unhideWhenUsed/>
    <w:rsid w:val="007E79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7900"/>
  </w:style>
  <w:style w:type="paragraph" w:styleId="Footer">
    <w:name w:val="footer"/>
    <w:basedOn w:val="Normal"/>
    <w:link w:val="FooterChar"/>
    <w:uiPriority w:val="99"/>
    <w:unhideWhenUsed/>
    <w:rsid w:val="007E79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7900"/>
  </w:style>
  <w:style w:type="paragraph" w:styleId="TableofFigures">
    <w:name w:val="table of figures"/>
    <w:basedOn w:val="Normal"/>
    <w:next w:val="Normal"/>
    <w:uiPriority w:val="99"/>
    <w:unhideWhenUsed/>
    <w:rsid w:val="00680042"/>
    <w:pPr>
      <w:spacing w:after="0"/>
    </w:pPr>
  </w:style>
  <w:style w:type="paragraph" w:styleId="ListParagraph">
    <w:name w:val="List Paragraph"/>
    <w:basedOn w:val="Normal"/>
    <w:uiPriority w:val="34"/>
    <w:qFormat/>
    <w:rsid w:val="007B7DD4"/>
    <w:pPr>
      <w:ind w:left="720"/>
      <w:contextualSpacing/>
    </w:p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
    <w:basedOn w:val="Normal"/>
    <w:link w:val="FootnoteTextChar"/>
    <w:uiPriority w:val="99"/>
    <w:rsid w:val="00E06390"/>
    <w:pPr>
      <w:spacing w:after="0" w:line="240" w:lineRule="auto"/>
    </w:pPr>
    <w:rPr>
      <w:rFonts w:ascii="Times New Roman" w:eastAsia="Times New Roman" w:hAnsi="Times New Roman" w:cs="Times New Roman"/>
      <w:sz w:val="20"/>
      <w:szCs w:val="20"/>
      <w:lang w:val="hr-HR" w:eastAsia="hr-HR"/>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rsid w:val="00E06390"/>
    <w:rPr>
      <w:rFonts w:ascii="Times New Roman" w:eastAsia="Times New Roman" w:hAnsi="Times New Roman" w:cs="Times New Roman"/>
      <w:sz w:val="20"/>
      <w:szCs w:val="20"/>
      <w:lang w:val="hr-HR" w:eastAsia="hr-HR"/>
    </w:rPr>
  </w:style>
  <w:style w:type="character" w:styleId="FootnoteReference">
    <w:name w:val="footnote reference"/>
    <w:aliases w:val="BVI fnr,16 Point,Superscript 6 Point"/>
    <w:basedOn w:val="DefaultParagraphFont"/>
    <w:uiPriority w:val="99"/>
    <w:rsid w:val="00E06390"/>
    <w:rPr>
      <w:vertAlign w:val="superscript"/>
    </w:rPr>
  </w:style>
  <w:style w:type="paragraph" w:customStyle="1" w:styleId="Default">
    <w:name w:val="Default"/>
    <w:rsid w:val="00BB1B39"/>
    <w:pPr>
      <w:autoSpaceDE w:val="0"/>
      <w:autoSpaceDN w:val="0"/>
      <w:adjustRightInd w:val="0"/>
      <w:spacing w:after="0" w:line="240" w:lineRule="auto"/>
    </w:pPr>
    <w:rPr>
      <w:rFonts w:ascii="Times New Roman" w:hAnsi="Times New Roman" w:cs="Times New Roman"/>
      <w:color w:val="000000"/>
      <w:sz w:val="24"/>
      <w:szCs w:val="24"/>
      <w:lang w:val="hr-HR"/>
    </w:rPr>
  </w:style>
  <w:style w:type="paragraph" w:customStyle="1" w:styleId="xmsonormal">
    <w:name w:val="x_msonormal"/>
    <w:basedOn w:val="Normal"/>
    <w:rsid w:val="00EA71C0"/>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customStyle="1" w:styleId="xmsofootnotereference">
    <w:name w:val="x_msofootnotereference"/>
    <w:basedOn w:val="DefaultParagraphFont"/>
    <w:rsid w:val="00EA71C0"/>
  </w:style>
  <w:style w:type="character" w:styleId="CommentReference">
    <w:name w:val="annotation reference"/>
    <w:basedOn w:val="DefaultParagraphFont"/>
    <w:uiPriority w:val="99"/>
    <w:semiHidden/>
    <w:unhideWhenUsed/>
    <w:rsid w:val="00943636"/>
    <w:rPr>
      <w:sz w:val="16"/>
      <w:szCs w:val="16"/>
    </w:rPr>
  </w:style>
  <w:style w:type="paragraph" w:styleId="CommentText">
    <w:name w:val="annotation text"/>
    <w:basedOn w:val="Normal"/>
    <w:link w:val="CommentTextChar"/>
    <w:uiPriority w:val="99"/>
    <w:semiHidden/>
    <w:unhideWhenUsed/>
    <w:rsid w:val="00943636"/>
    <w:pPr>
      <w:spacing w:line="240" w:lineRule="auto"/>
    </w:pPr>
    <w:rPr>
      <w:sz w:val="20"/>
      <w:szCs w:val="20"/>
    </w:rPr>
  </w:style>
  <w:style w:type="character" w:customStyle="1" w:styleId="CommentTextChar">
    <w:name w:val="Comment Text Char"/>
    <w:basedOn w:val="DefaultParagraphFont"/>
    <w:link w:val="CommentText"/>
    <w:uiPriority w:val="99"/>
    <w:semiHidden/>
    <w:rsid w:val="00943636"/>
    <w:rPr>
      <w:sz w:val="20"/>
      <w:szCs w:val="20"/>
    </w:rPr>
  </w:style>
  <w:style w:type="paragraph" w:styleId="CommentSubject">
    <w:name w:val="annotation subject"/>
    <w:basedOn w:val="CommentText"/>
    <w:next w:val="CommentText"/>
    <w:link w:val="CommentSubjectChar"/>
    <w:uiPriority w:val="99"/>
    <w:semiHidden/>
    <w:unhideWhenUsed/>
    <w:rsid w:val="00943636"/>
    <w:rPr>
      <w:b/>
      <w:bCs/>
    </w:rPr>
  </w:style>
  <w:style w:type="character" w:customStyle="1" w:styleId="CommentSubjectChar">
    <w:name w:val="Comment Subject Char"/>
    <w:basedOn w:val="CommentTextChar"/>
    <w:link w:val="CommentSubject"/>
    <w:uiPriority w:val="99"/>
    <w:semiHidden/>
    <w:rsid w:val="009436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25065">
      <w:bodyDiv w:val="1"/>
      <w:marLeft w:val="0"/>
      <w:marRight w:val="0"/>
      <w:marTop w:val="0"/>
      <w:marBottom w:val="0"/>
      <w:divBdr>
        <w:top w:val="none" w:sz="0" w:space="0" w:color="auto"/>
        <w:left w:val="none" w:sz="0" w:space="0" w:color="auto"/>
        <w:bottom w:val="none" w:sz="0" w:space="0" w:color="auto"/>
        <w:right w:val="none" w:sz="0" w:space="0" w:color="auto"/>
      </w:divBdr>
    </w:div>
    <w:div w:id="258753084">
      <w:bodyDiv w:val="1"/>
      <w:marLeft w:val="0"/>
      <w:marRight w:val="0"/>
      <w:marTop w:val="0"/>
      <w:marBottom w:val="0"/>
      <w:divBdr>
        <w:top w:val="none" w:sz="0" w:space="0" w:color="auto"/>
        <w:left w:val="none" w:sz="0" w:space="0" w:color="auto"/>
        <w:bottom w:val="none" w:sz="0" w:space="0" w:color="auto"/>
        <w:right w:val="none" w:sz="0" w:space="0" w:color="auto"/>
      </w:divBdr>
    </w:div>
    <w:div w:id="449478543">
      <w:bodyDiv w:val="1"/>
      <w:marLeft w:val="0"/>
      <w:marRight w:val="0"/>
      <w:marTop w:val="0"/>
      <w:marBottom w:val="0"/>
      <w:divBdr>
        <w:top w:val="none" w:sz="0" w:space="0" w:color="auto"/>
        <w:left w:val="none" w:sz="0" w:space="0" w:color="auto"/>
        <w:bottom w:val="none" w:sz="0" w:space="0" w:color="auto"/>
        <w:right w:val="none" w:sz="0" w:space="0" w:color="auto"/>
      </w:divBdr>
    </w:div>
    <w:div w:id="1001618430">
      <w:bodyDiv w:val="1"/>
      <w:marLeft w:val="0"/>
      <w:marRight w:val="0"/>
      <w:marTop w:val="0"/>
      <w:marBottom w:val="0"/>
      <w:divBdr>
        <w:top w:val="none" w:sz="0" w:space="0" w:color="auto"/>
        <w:left w:val="none" w:sz="0" w:space="0" w:color="auto"/>
        <w:bottom w:val="none" w:sz="0" w:space="0" w:color="auto"/>
        <w:right w:val="none" w:sz="0" w:space="0" w:color="auto"/>
      </w:divBdr>
    </w:div>
    <w:div w:id="1144349832">
      <w:bodyDiv w:val="1"/>
      <w:marLeft w:val="0"/>
      <w:marRight w:val="0"/>
      <w:marTop w:val="0"/>
      <w:marBottom w:val="0"/>
      <w:divBdr>
        <w:top w:val="none" w:sz="0" w:space="0" w:color="auto"/>
        <w:left w:val="none" w:sz="0" w:space="0" w:color="auto"/>
        <w:bottom w:val="none" w:sz="0" w:space="0" w:color="auto"/>
        <w:right w:val="none" w:sz="0" w:space="0" w:color="auto"/>
      </w:divBdr>
    </w:div>
    <w:div w:id="1403917444">
      <w:bodyDiv w:val="1"/>
      <w:marLeft w:val="0"/>
      <w:marRight w:val="0"/>
      <w:marTop w:val="0"/>
      <w:marBottom w:val="0"/>
      <w:divBdr>
        <w:top w:val="none" w:sz="0" w:space="0" w:color="auto"/>
        <w:left w:val="none" w:sz="0" w:space="0" w:color="auto"/>
        <w:bottom w:val="none" w:sz="0" w:space="0" w:color="auto"/>
        <w:right w:val="none" w:sz="0" w:space="0" w:color="auto"/>
      </w:divBdr>
    </w:div>
    <w:div w:id="184663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C09C0-70A3-4A88-B3B4-146DBA858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9101</Words>
  <Characters>51877</Characters>
  <Application>Microsoft Office Word</Application>
  <DocSecurity>0</DocSecurity>
  <Lines>432</Lines>
  <Paragraphs>121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Anita Memić</cp:lastModifiedBy>
  <cp:revision>3</cp:revision>
  <cp:lastPrinted>2025-11-13T07:19:00Z</cp:lastPrinted>
  <dcterms:created xsi:type="dcterms:W3CDTF">2025-11-13T07:12:00Z</dcterms:created>
  <dcterms:modified xsi:type="dcterms:W3CDTF">2025-11-13T07:19:00Z</dcterms:modified>
</cp:coreProperties>
</file>